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EC505" w14:textId="77777777" w:rsidR="00FB78CB" w:rsidRPr="006E132F" w:rsidRDefault="00FB78CB" w:rsidP="00FB78CB">
      <w:pPr>
        <w:rPr>
          <w:rFonts w:ascii="Cambria" w:hAnsi="Cambria"/>
          <w:sz w:val="20"/>
        </w:rPr>
      </w:pPr>
    </w:p>
    <w:p w14:paraId="79D939A3" w14:textId="77777777" w:rsidR="00FB78CB" w:rsidRPr="006E132F" w:rsidRDefault="00FB78CB" w:rsidP="00FB78CB">
      <w:pPr>
        <w:rPr>
          <w:rFonts w:ascii="Cambria" w:hAnsi="Cambria"/>
          <w:b/>
          <w:bCs/>
          <w:sz w:val="20"/>
        </w:rPr>
      </w:pPr>
      <w:r w:rsidRPr="006E132F">
        <w:rPr>
          <w:rFonts w:ascii="Cambria" w:hAnsi="Cambria"/>
          <w:b/>
          <w:bCs/>
          <w:sz w:val="20"/>
        </w:rPr>
        <w:t>Projekt Tarczy antykryzysowej 2.0.</w:t>
      </w:r>
    </w:p>
    <w:p w14:paraId="1D8526D7" w14:textId="77777777" w:rsidR="00FB78CB" w:rsidRPr="006E132F" w:rsidRDefault="00FB78CB" w:rsidP="00FB78CB">
      <w:pPr>
        <w:rPr>
          <w:rFonts w:ascii="Cambria" w:hAnsi="Cambria"/>
          <w:sz w:val="20"/>
        </w:rPr>
      </w:pPr>
      <w:r w:rsidRPr="006E132F">
        <w:rPr>
          <w:rFonts w:ascii="Cambria" w:hAnsi="Cambria"/>
          <w:sz w:val="20"/>
        </w:rPr>
        <w:t>- rozwiązania przewidziane w projekcie Ustawy o szczególnych instrumentach wsparcia w związku z rozprzestrzenianiem się wirusa SARS-CoV-2 (stan na 09.04.2020 r.)</w:t>
      </w:r>
    </w:p>
    <w:p w14:paraId="182FCD11" w14:textId="77777777" w:rsidR="00FB78CB" w:rsidRPr="006E132F" w:rsidRDefault="00FB78CB" w:rsidP="00FB78CB">
      <w:pPr>
        <w:rPr>
          <w:rFonts w:ascii="Cambria" w:hAnsi="Cambria"/>
          <w:sz w:val="20"/>
        </w:rPr>
      </w:pPr>
      <w:r w:rsidRPr="006E132F">
        <w:rPr>
          <w:rFonts w:ascii="Cambria" w:hAnsi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0B83D9" wp14:editId="3E5F4944">
                <wp:simplePos x="0" y="0"/>
                <wp:positionH relativeFrom="column">
                  <wp:posOffset>-60965</wp:posOffset>
                </wp:positionH>
                <wp:positionV relativeFrom="paragraph">
                  <wp:posOffset>97590</wp:posOffset>
                </wp:positionV>
                <wp:extent cx="5816600" cy="1012641"/>
                <wp:effectExtent l="0" t="0" r="12700" b="1651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1012641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A4152F2" w14:textId="77777777" w:rsidR="00FB78CB" w:rsidRPr="00FB78CB" w:rsidRDefault="00FB78CB" w:rsidP="00FB78CB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</w:rPr>
                            </w:pPr>
                            <w:r w:rsidRPr="00FB78CB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</w:rPr>
                              <w:t>WAŻNE!</w:t>
                            </w:r>
                          </w:p>
                          <w:p w14:paraId="37181622" w14:textId="77777777" w:rsidR="00FB78CB" w:rsidRPr="00FB78CB" w:rsidRDefault="00FB78CB" w:rsidP="00FB78CB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</w:rPr>
                            </w:pPr>
                            <w:r w:rsidRPr="00FB78CB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</w:rPr>
                              <w:t>Ustawa wprowadza ograniczenia podmiotowe – wyłączona została możliwość udzielania wsparcia przedsiębiorcom, których trudna sytuacja finansowa nie jest następstwem ograniczeń wynikających z COVID-19.</w:t>
                            </w:r>
                          </w:p>
                          <w:p w14:paraId="3215F8E2" w14:textId="77777777" w:rsidR="00FB78CB" w:rsidRPr="00FB78CB" w:rsidRDefault="00FB78CB" w:rsidP="00FB78CB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0FF9CA79" w14:textId="77777777" w:rsidR="00FB78CB" w:rsidRPr="00FB78CB" w:rsidRDefault="00FB78CB" w:rsidP="00FB78CB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B83D9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-4.8pt;margin-top:7.7pt;width:458pt;height:79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" fillcolor="#4472c4 [3208]" strokecolor="red" strokeweight=".5pt">
                <v:textbox>
                  <w:txbxContent>
                    <w:p w14:paraId="7A4152F2" w14:textId="77777777" w:rsidR="00FB78CB" w:rsidRPr="00FB78CB" w:rsidRDefault="00FB78CB" w:rsidP="00FB78CB">
                      <w:pPr>
                        <w:rPr>
                          <w:rFonts w:ascii="Cambria" w:hAnsi="Cambria"/>
                          <w:b/>
                          <w:bCs/>
                          <w:sz w:val="20"/>
                        </w:rPr>
                      </w:pPr>
                      <w:r w:rsidRPr="00FB78CB">
                        <w:rPr>
                          <w:rFonts w:ascii="Cambria" w:hAnsi="Cambria"/>
                          <w:b/>
                          <w:bCs/>
                          <w:sz w:val="20"/>
                        </w:rPr>
                        <w:t>WAŻNE!</w:t>
                      </w:r>
                    </w:p>
                    <w:p w14:paraId="37181622" w14:textId="77777777" w:rsidR="00FB78CB" w:rsidRPr="00FB78CB" w:rsidRDefault="00FB78CB" w:rsidP="00FB78CB">
                      <w:pPr>
                        <w:rPr>
                          <w:rFonts w:ascii="Cambria" w:hAnsi="Cambria"/>
                          <w:b/>
                          <w:bCs/>
                          <w:sz w:val="20"/>
                        </w:rPr>
                      </w:pPr>
                      <w:r w:rsidRPr="00FB78CB">
                        <w:rPr>
                          <w:rFonts w:ascii="Cambria" w:hAnsi="Cambria"/>
                          <w:b/>
                          <w:bCs/>
                          <w:sz w:val="20"/>
                        </w:rPr>
                        <w:t>Ustawa wprowadza ograniczenia podmiotowe – wyłączona została możliwość udzielania wsparcia przedsiębiorcom, których trudna sytuacja finansowa nie jest następstwem ograniczeń wynikających z COVID-19.</w:t>
                      </w:r>
                    </w:p>
                    <w:p w14:paraId="3215F8E2" w14:textId="77777777" w:rsidR="00FB78CB" w:rsidRPr="00FB78CB" w:rsidRDefault="00FB78CB" w:rsidP="00FB78CB">
                      <w:pPr>
                        <w:rPr>
                          <w:rFonts w:ascii="Cambria" w:hAnsi="Cambria"/>
                          <w:b/>
                          <w:bCs/>
                          <w:sz w:val="20"/>
                        </w:rPr>
                      </w:pPr>
                    </w:p>
                    <w:p w14:paraId="0FF9CA79" w14:textId="77777777" w:rsidR="00FB78CB" w:rsidRPr="00FB78CB" w:rsidRDefault="00FB78CB" w:rsidP="00FB78CB">
                      <w:pPr>
                        <w:rPr>
                          <w:rFonts w:ascii="Cambria" w:hAnsi="Cambria"/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DAB92C" w14:textId="77777777" w:rsidR="00FB78CB" w:rsidRPr="006E132F" w:rsidRDefault="00FB78CB" w:rsidP="00FB78CB">
      <w:pPr>
        <w:rPr>
          <w:rFonts w:ascii="Cambria" w:hAnsi="Cambria"/>
          <w:sz w:val="20"/>
        </w:rPr>
      </w:pPr>
    </w:p>
    <w:p w14:paraId="6DFECF6F" w14:textId="77777777" w:rsidR="00FB78CB" w:rsidRPr="006E132F" w:rsidRDefault="00FB78CB" w:rsidP="00FB78CB">
      <w:pPr>
        <w:rPr>
          <w:rFonts w:ascii="Cambria" w:hAnsi="Cambria"/>
          <w:sz w:val="20"/>
        </w:rPr>
      </w:pPr>
    </w:p>
    <w:p w14:paraId="6368B84D" w14:textId="77777777" w:rsidR="00FB78CB" w:rsidRPr="006E132F" w:rsidRDefault="00FB78CB" w:rsidP="00FB78CB">
      <w:pPr>
        <w:rPr>
          <w:rFonts w:ascii="Cambria" w:hAnsi="Cambria"/>
          <w:sz w:val="20"/>
        </w:rPr>
      </w:pPr>
    </w:p>
    <w:p w14:paraId="4373603A" w14:textId="77777777" w:rsidR="00FB78CB" w:rsidRPr="006E132F" w:rsidRDefault="00FB78CB" w:rsidP="00FB78CB">
      <w:pPr>
        <w:rPr>
          <w:rFonts w:ascii="Cambria" w:hAnsi="Cambria"/>
          <w:sz w:val="20"/>
        </w:rPr>
      </w:pPr>
    </w:p>
    <w:p w14:paraId="3C3F6D62" w14:textId="77777777" w:rsidR="00FB78CB" w:rsidRPr="006E132F" w:rsidRDefault="00FB78CB" w:rsidP="00FB78CB">
      <w:pPr>
        <w:pStyle w:val="Akapitzlist"/>
        <w:ind w:left="0"/>
        <w:rPr>
          <w:rFonts w:ascii="Cambria" w:hAnsi="Cambria"/>
          <w:b/>
          <w:bCs/>
          <w:color w:val="FF0000"/>
          <w:sz w:val="20"/>
          <w:u w:val="single"/>
        </w:rPr>
      </w:pPr>
      <w:r w:rsidRPr="006E132F">
        <w:rPr>
          <w:rFonts w:ascii="Cambria" w:hAnsi="Cambria"/>
          <w:b/>
          <w:bCs/>
          <w:color w:val="FF0000"/>
          <w:sz w:val="20"/>
          <w:u w:val="single"/>
        </w:rPr>
        <w:t>NOWE MOŻLIWOŚCI DLA PRZEDSIĘBIORCÓW WYNIKAJĄCE Z PROJEKTU TARCZY ANTYKRYZYSOWEJ 2.0</w:t>
      </w:r>
    </w:p>
    <w:p w14:paraId="68541A0C" w14:textId="77777777" w:rsidR="00FB78CB" w:rsidRPr="006E132F" w:rsidRDefault="00FB78CB" w:rsidP="00FB78CB">
      <w:pPr>
        <w:pStyle w:val="Akapitzlist"/>
        <w:ind w:left="0"/>
        <w:rPr>
          <w:rFonts w:ascii="Cambria" w:hAnsi="Cambria"/>
          <w:b/>
          <w:bCs/>
          <w:color w:val="FF0000"/>
          <w:sz w:val="20"/>
          <w:u w:val="single"/>
        </w:rPr>
      </w:pPr>
    </w:p>
    <w:p w14:paraId="7D782934" w14:textId="77777777" w:rsidR="00FB78CB" w:rsidRPr="006E132F" w:rsidRDefault="00FB78CB" w:rsidP="00FB78CB">
      <w:pPr>
        <w:pStyle w:val="Akapitzlist"/>
        <w:numPr>
          <w:ilvl w:val="0"/>
          <w:numId w:val="31"/>
        </w:numPr>
        <w:suppressAutoHyphens w:val="0"/>
        <w:spacing w:before="0" w:after="160" w:line="259" w:lineRule="auto"/>
        <w:rPr>
          <w:rFonts w:ascii="Cambria" w:hAnsi="Cambria"/>
          <w:b/>
          <w:bCs/>
          <w:color w:val="000000" w:themeColor="text1"/>
          <w:sz w:val="20"/>
        </w:rPr>
      </w:pPr>
      <w:r w:rsidRPr="006E132F">
        <w:rPr>
          <w:rFonts w:ascii="Cambria" w:hAnsi="Cambria"/>
          <w:b/>
          <w:bCs/>
          <w:color w:val="000000" w:themeColor="text1"/>
          <w:sz w:val="20"/>
        </w:rPr>
        <w:t>ZWOLNIENIE ZE SKŁADEK – ROZSZERZENIE KRĘGU PRZEDSIĘBIORCÓW</w:t>
      </w:r>
    </w:p>
    <w:p w14:paraId="05D1B0D9" w14:textId="38C75C2E" w:rsidR="00FB78CB" w:rsidRPr="006E132F" w:rsidRDefault="00FB78CB" w:rsidP="00FB78CB">
      <w:pPr>
        <w:rPr>
          <w:rFonts w:ascii="Cambria" w:hAnsi="Cambria"/>
          <w:color w:val="000000" w:themeColor="text1"/>
          <w:sz w:val="20"/>
        </w:rPr>
      </w:pPr>
      <w:r w:rsidRPr="006E132F">
        <w:rPr>
          <w:rFonts w:ascii="Cambria" w:hAnsi="Cambria"/>
          <w:color w:val="000000" w:themeColor="text1"/>
          <w:sz w:val="20"/>
        </w:rPr>
        <w:t xml:space="preserve">Dotychczasowe zwolnienie w zakresie przedsiębiorców zgłaszających do ubezpieczeń do 9 osób zostało </w:t>
      </w:r>
      <w:r w:rsidRPr="006E132F">
        <w:rPr>
          <w:rFonts w:ascii="Cambria" w:hAnsi="Cambria"/>
          <w:b/>
          <w:bCs/>
          <w:color w:val="000000" w:themeColor="text1"/>
          <w:sz w:val="20"/>
        </w:rPr>
        <w:t xml:space="preserve">rozszerzone o płatników zgłaszających do ubezpieczeń DO 49 OSÓB – </w:t>
      </w:r>
      <w:r w:rsidRPr="006E132F">
        <w:rPr>
          <w:rFonts w:ascii="Cambria" w:hAnsi="Cambria"/>
          <w:color w:val="000000" w:themeColor="text1"/>
          <w:sz w:val="20"/>
        </w:rPr>
        <w:t xml:space="preserve">podlegają oni zwolnieniu, podobnie jak dotychczas </w:t>
      </w:r>
      <w:proofErr w:type="spellStart"/>
      <w:r w:rsidRPr="006E132F">
        <w:rPr>
          <w:rFonts w:ascii="Cambria" w:hAnsi="Cambria"/>
          <w:color w:val="000000" w:themeColor="text1"/>
          <w:sz w:val="20"/>
        </w:rPr>
        <w:t>mikroprzedsiębiorcy</w:t>
      </w:r>
      <w:proofErr w:type="spellEnd"/>
      <w:r w:rsidRPr="006E132F">
        <w:rPr>
          <w:rFonts w:ascii="Cambria" w:hAnsi="Cambria"/>
          <w:color w:val="000000" w:themeColor="text1"/>
          <w:sz w:val="20"/>
        </w:rPr>
        <w:t xml:space="preserve"> ze składek na ubezpieczenie społeczne, zdrowotne, Fundusz Pracy, Fundusz Solidarnościowy, Fundusz Gwarantowanych Świadczeń Pracowniczych lub Fundusz Emerytur Pomostowych.</w:t>
      </w:r>
    </w:p>
    <w:p w14:paraId="587A192C" w14:textId="53282C46" w:rsidR="00FB78CB" w:rsidRPr="006E132F" w:rsidRDefault="00FB78CB" w:rsidP="00FB78CB">
      <w:pPr>
        <w:rPr>
          <w:rFonts w:ascii="Cambria" w:hAnsi="Cambria"/>
          <w:color w:val="000000" w:themeColor="text1"/>
          <w:sz w:val="20"/>
        </w:rPr>
      </w:pPr>
      <w:r w:rsidRPr="006E132F">
        <w:rPr>
          <w:rFonts w:ascii="Cambria" w:hAnsi="Cambria"/>
          <w:b/>
          <w:bCs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EF24D" wp14:editId="14028799">
                <wp:simplePos x="0" y="0"/>
                <wp:positionH relativeFrom="margin">
                  <wp:posOffset>-38294</wp:posOffset>
                </wp:positionH>
                <wp:positionV relativeFrom="paragraph">
                  <wp:posOffset>70951</wp:posOffset>
                </wp:positionV>
                <wp:extent cx="5772150" cy="1012641"/>
                <wp:effectExtent l="0" t="0" r="19050" b="1651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1012641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7388C14" w14:textId="77777777" w:rsidR="00FB78CB" w:rsidRPr="00FB78CB" w:rsidRDefault="00FB78CB" w:rsidP="00FB78CB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</w:pPr>
                            <w:r w:rsidRPr="00FB78CB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WAŻNE!</w:t>
                            </w:r>
                          </w:p>
                          <w:p w14:paraId="0F62B482" w14:textId="77777777" w:rsidR="00FB78CB" w:rsidRPr="00FB78CB" w:rsidRDefault="00FB78CB" w:rsidP="00FB78CB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  <w:r w:rsidRPr="00FB78CB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Zwolnienie to obejmuje płatników zatrudniających od 10 do 49 osób podlegających ubezpieczeniom społecznym – jednak wyłącznie </w:t>
                            </w:r>
                            <w:r w:rsidRPr="00FB78CB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0"/>
                                <w:u w:val="single"/>
                              </w:rPr>
                              <w:t>w zakresie opłacania składek w wysokości 50% łącznej kwoty nieopłaconych należności z tytułu składek.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EF24D" id="Pole tekstowe 5" o:spid="_x0000_s1027" type="#_x0000_t202" style="position:absolute;left:0;text-align:left;margin-left:-3pt;margin-top:5.6pt;width:454.5pt;height:79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" fillcolor="#4472c4 [3208]" strokecolor="red" strokeweight=".5pt">
                <v:textbox>
                  <w:txbxContent>
                    <w:p w14:paraId="37388C14" w14:textId="77777777" w:rsidR="00FB78CB" w:rsidRPr="00FB78CB" w:rsidRDefault="00FB78CB" w:rsidP="00FB78CB">
                      <w:pPr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0"/>
                        </w:rPr>
                      </w:pPr>
                      <w:r w:rsidRPr="00FB78CB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0"/>
                        </w:rPr>
                        <w:t>WAŻNE!</w:t>
                      </w:r>
                    </w:p>
                    <w:p w14:paraId="0F62B482" w14:textId="77777777" w:rsidR="00FB78CB" w:rsidRPr="00FB78CB" w:rsidRDefault="00FB78CB" w:rsidP="00FB78CB">
                      <w:pPr>
                        <w:rPr>
                          <w:rFonts w:ascii="Cambria" w:hAnsi="Cambria"/>
                          <w:sz w:val="20"/>
                        </w:rPr>
                      </w:pPr>
                      <w:r w:rsidRPr="00FB78CB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0"/>
                        </w:rPr>
                        <w:t xml:space="preserve">Zwolnienie to obejmuje płatników zatrudniających od 10 do 49 osób podlegających ubezpieczeniom społecznym – jednak wyłącznie </w:t>
                      </w:r>
                      <w:r w:rsidRPr="00FB78CB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0"/>
                          <w:u w:val="single"/>
                        </w:rPr>
                        <w:t>w zakresie opłacania składek w wysokości 50% łącznej kwoty nieopłaconych należności z tytułu składek.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248A7E" w14:textId="77777777" w:rsidR="00FB78CB" w:rsidRPr="006E132F" w:rsidRDefault="00FB78CB" w:rsidP="00FB78CB">
      <w:pPr>
        <w:rPr>
          <w:rFonts w:ascii="Cambria" w:hAnsi="Cambria"/>
          <w:color w:val="000000" w:themeColor="text1"/>
          <w:sz w:val="20"/>
        </w:rPr>
      </w:pPr>
    </w:p>
    <w:p w14:paraId="17E1F7FD" w14:textId="77777777" w:rsidR="00FB78CB" w:rsidRPr="006E132F" w:rsidRDefault="00FB78CB" w:rsidP="00FB78CB">
      <w:pPr>
        <w:rPr>
          <w:rFonts w:ascii="Cambria" w:hAnsi="Cambria"/>
          <w:color w:val="000000" w:themeColor="text1"/>
          <w:sz w:val="20"/>
        </w:rPr>
      </w:pPr>
    </w:p>
    <w:p w14:paraId="52F3742F" w14:textId="77777777" w:rsidR="00FB78CB" w:rsidRPr="006E132F" w:rsidRDefault="00FB78CB" w:rsidP="00FB78CB">
      <w:pPr>
        <w:rPr>
          <w:rFonts w:ascii="Cambria" w:hAnsi="Cambria"/>
          <w:color w:val="000000" w:themeColor="text1"/>
          <w:sz w:val="20"/>
        </w:rPr>
      </w:pPr>
    </w:p>
    <w:p w14:paraId="60BD0FA8" w14:textId="77777777" w:rsidR="00FB78CB" w:rsidRPr="006E132F" w:rsidRDefault="00FB78CB" w:rsidP="00FB78CB">
      <w:pPr>
        <w:rPr>
          <w:rFonts w:ascii="Cambria" w:hAnsi="Cambria"/>
          <w:b/>
          <w:bCs/>
          <w:color w:val="000000" w:themeColor="text1"/>
          <w:sz w:val="20"/>
        </w:rPr>
      </w:pPr>
      <w:r w:rsidRPr="006E132F">
        <w:rPr>
          <w:rFonts w:ascii="Cambria" w:hAnsi="Cambria"/>
          <w:color w:val="000000" w:themeColor="text1"/>
          <w:sz w:val="20"/>
        </w:rPr>
        <w:t xml:space="preserve">Do liczby osób objętych ubezpieczeniami </w:t>
      </w:r>
      <w:r w:rsidRPr="006E132F">
        <w:rPr>
          <w:rFonts w:ascii="Cambria" w:hAnsi="Cambria"/>
          <w:b/>
          <w:bCs/>
          <w:color w:val="000000" w:themeColor="text1"/>
          <w:sz w:val="20"/>
        </w:rPr>
        <w:t>nie wlicza się pracowników młodocianych w celu przygotowania zawodowego.</w:t>
      </w:r>
    </w:p>
    <w:p w14:paraId="500E7F0A" w14:textId="77777777" w:rsidR="00FB78CB" w:rsidRPr="006E132F" w:rsidRDefault="00FB78CB" w:rsidP="00FB78CB">
      <w:pPr>
        <w:rPr>
          <w:rFonts w:ascii="Cambria" w:hAnsi="Cambria"/>
          <w:b/>
          <w:bCs/>
          <w:color w:val="000000" w:themeColor="text1"/>
          <w:sz w:val="20"/>
        </w:rPr>
      </w:pPr>
    </w:p>
    <w:p w14:paraId="572C88C2" w14:textId="77777777" w:rsidR="00FB78CB" w:rsidRPr="006E132F" w:rsidRDefault="00FB78CB" w:rsidP="00FB78CB">
      <w:pPr>
        <w:pStyle w:val="Akapitzlist"/>
        <w:numPr>
          <w:ilvl w:val="0"/>
          <w:numId w:val="31"/>
        </w:numPr>
        <w:suppressAutoHyphens w:val="0"/>
        <w:spacing w:before="0" w:after="160" w:line="259" w:lineRule="auto"/>
        <w:rPr>
          <w:rFonts w:ascii="Cambria" w:hAnsi="Cambria"/>
          <w:b/>
          <w:bCs/>
          <w:color w:val="000000" w:themeColor="text1"/>
          <w:sz w:val="20"/>
        </w:rPr>
      </w:pPr>
      <w:r w:rsidRPr="006E132F">
        <w:rPr>
          <w:rFonts w:ascii="Cambria" w:hAnsi="Cambria"/>
          <w:b/>
          <w:bCs/>
          <w:color w:val="000000" w:themeColor="text1"/>
          <w:sz w:val="20"/>
        </w:rPr>
        <w:t>POŻYCZKA – ROZSZERZENIE KRĘGU UPRAWNIONYCH</w:t>
      </w:r>
    </w:p>
    <w:p w14:paraId="62876A6B" w14:textId="77777777" w:rsidR="00FB78CB" w:rsidRPr="006E132F" w:rsidRDefault="00FB78CB" w:rsidP="00FB78CB">
      <w:pPr>
        <w:rPr>
          <w:rFonts w:ascii="Cambria" w:hAnsi="Cambria"/>
          <w:color w:val="000000" w:themeColor="text1"/>
          <w:sz w:val="20"/>
        </w:rPr>
      </w:pPr>
      <w:r w:rsidRPr="006E132F">
        <w:rPr>
          <w:rFonts w:ascii="Cambria" w:hAnsi="Cambria"/>
          <w:color w:val="000000" w:themeColor="text1"/>
          <w:sz w:val="20"/>
        </w:rPr>
        <w:t xml:space="preserve">Z dotychczasowego brzmienia przepisów dotyczących udzielenia pożyczki </w:t>
      </w:r>
      <w:proofErr w:type="spellStart"/>
      <w:r w:rsidRPr="006E132F">
        <w:rPr>
          <w:rFonts w:ascii="Cambria" w:hAnsi="Cambria"/>
          <w:color w:val="000000" w:themeColor="text1"/>
          <w:sz w:val="20"/>
        </w:rPr>
        <w:t>mikroprzedsiębiorcy</w:t>
      </w:r>
      <w:proofErr w:type="spellEnd"/>
      <w:r w:rsidRPr="006E132F">
        <w:rPr>
          <w:rFonts w:ascii="Cambria" w:hAnsi="Cambria"/>
          <w:color w:val="000000" w:themeColor="text1"/>
          <w:sz w:val="20"/>
        </w:rPr>
        <w:t xml:space="preserve"> wynikało, iż świadczenie to przysługuje jedynie tym, którzy zatrudniają pracowników. Proponowane brzmienie nowych zapisów likwiduje warunek dotyczący zatrudniania pracowników. </w:t>
      </w:r>
    </w:p>
    <w:p w14:paraId="000A72F3" w14:textId="77777777" w:rsidR="00FB78CB" w:rsidRPr="006E132F" w:rsidRDefault="00FB78CB" w:rsidP="00FB78CB">
      <w:pPr>
        <w:rPr>
          <w:rFonts w:ascii="Cambria" w:hAnsi="Cambria"/>
          <w:color w:val="000000" w:themeColor="text1"/>
          <w:sz w:val="20"/>
        </w:rPr>
      </w:pPr>
      <w:r w:rsidRPr="006E132F">
        <w:rPr>
          <w:rFonts w:ascii="Cambria" w:hAnsi="Cambria"/>
          <w:b/>
          <w:bCs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202B6" wp14:editId="0074B9E8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5772150" cy="853943"/>
                <wp:effectExtent l="0" t="0" r="19050" b="1016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853943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FB5EF2" w14:textId="190CB753" w:rsidR="00FB78CB" w:rsidRPr="00FB78CB" w:rsidRDefault="00FB78CB" w:rsidP="00FB78CB">
                            <w:pPr>
                              <w:rPr>
                                <w:rFonts w:ascii="Cambria" w:hAnsi="Cambria" w:cs="Calibri"/>
                                <w:sz w:val="20"/>
                              </w:rPr>
                            </w:pPr>
                            <w:r w:rsidRPr="00FB78CB">
                              <w:rPr>
                                <w:rFonts w:ascii="Cambria" w:hAnsi="Cambria" w:cs="Calibri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Aby </w:t>
                            </w:r>
                            <w:proofErr w:type="spellStart"/>
                            <w:r w:rsidRPr="00FB78CB">
                              <w:rPr>
                                <w:rFonts w:ascii="Cambria" w:hAnsi="Cambria" w:cs="Calibri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>mikroprzedsiębiorca</w:t>
                            </w:r>
                            <w:proofErr w:type="spellEnd"/>
                            <w:r w:rsidRPr="00FB78CB">
                              <w:rPr>
                                <w:rFonts w:ascii="Cambria" w:hAnsi="Cambria" w:cs="Calibri"/>
                                <w:b/>
                                <w:bCs/>
                                <w:color w:val="000000" w:themeColor="text1"/>
                                <w:sz w:val="20"/>
                              </w:rPr>
                              <w:t xml:space="preserve"> mógł skorzystać z pożyczki, musi prowadzić działalność przez okres 3 MIESIĘCY OD DNIA JEJ UDZIELENIA </w:t>
                            </w:r>
                            <w:r w:rsidRPr="00FB78CB">
                              <w:rPr>
                                <w:rFonts w:ascii="Cambria" w:hAnsi="Cambria" w:cs="Calibri"/>
                                <w:color w:val="000000" w:themeColor="text1"/>
                                <w:sz w:val="20"/>
                              </w:rPr>
                              <w:t>(warunek ten obejmuje również pożyczki, które zostaną udzielone przed dniem wejścia w życia przedmiotowej zmiany</w:t>
                            </w:r>
                            <w:r w:rsidRPr="00FB78CB">
                              <w:rPr>
                                <w:rFonts w:ascii="Cambria" w:hAnsi="Cambria" w:cs="Calibri"/>
                                <w:color w:val="000000" w:themeColor="text1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202B6" id="Pole tekstowe 6" o:spid="_x0000_s1028" type="#_x0000_t202" style="position:absolute;left:0;text-align:left;margin-left:0;margin-top:2pt;width:454.5pt;height:67.2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" fillcolor="#4472c4 [3208]" strokeweight=".5pt">
                <v:textbox>
                  <w:txbxContent>
                    <w:p w14:paraId="7DFB5EF2" w14:textId="190CB753" w:rsidR="00FB78CB" w:rsidRPr="00FB78CB" w:rsidRDefault="00FB78CB" w:rsidP="00FB78CB">
                      <w:pPr>
                        <w:rPr>
                          <w:rFonts w:ascii="Cambria" w:hAnsi="Cambria" w:cs="Calibri"/>
                          <w:sz w:val="20"/>
                        </w:rPr>
                      </w:pPr>
                      <w:r w:rsidRPr="00FB78CB">
                        <w:rPr>
                          <w:rFonts w:ascii="Cambria" w:hAnsi="Cambria" w:cs="Calibri"/>
                          <w:b/>
                          <w:bCs/>
                          <w:color w:val="000000" w:themeColor="text1"/>
                          <w:sz w:val="20"/>
                        </w:rPr>
                        <w:t xml:space="preserve">Aby </w:t>
                      </w:r>
                      <w:proofErr w:type="spellStart"/>
                      <w:r w:rsidRPr="00FB78CB">
                        <w:rPr>
                          <w:rFonts w:ascii="Cambria" w:hAnsi="Cambria" w:cs="Calibri"/>
                          <w:b/>
                          <w:bCs/>
                          <w:color w:val="000000" w:themeColor="text1"/>
                          <w:sz w:val="20"/>
                        </w:rPr>
                        <w:t>mikroprzedsiębiorca</w:t>
                      </w:r>
                      <w:proofErr w:type="spellEnd"/>
                      <w:r w:rsidRPr="00FB78CB">
                        <w:rPr>
                          <w:rFonts w:ascii="Cambria" w:hAnsi="Cambria" w:cs="Calibri"/>
                          <w:b/>
                          <w:bCs/>
                          <w:color w:val="000000" w:themeColor="text1"/>
                          <w:sz w:val="20"/>
                        </w:rPr>
                        <w:t xml:space="preserve"> mógł skorzystać z pożyczki, musi prowadzić działalność przez okres 3 MIESIĘCY OD DNIA JEJ UDZIELENIA </w:t>
                      </w:r>
                      <w:r w:rsidRPr="00FB78CB">
                        <w:rPr>
                          <w:rFonts w:ascii="Cambria" w:hAnsi="Cambria" w:cs="Calibri"/>
                          <w:color w:val="000000" w:themeColor="text1"/>
                          <w:sz w:val="20"/>
                        </w:rPr>
                        <w:t>(warunek ten obejmuje również pożyczki, które zostaną udzielone przed dniem wejścia w życia przedmiotowej zmiany</w:t>
                      </w:r>
                      <w:r w:rsidRPr="00FB78CB">
                        <w:rPr>
                          <w:rFonts w:ascii="Cambria" w:hAnsi="Cambria" w:cs="Calibri"/>
                          <w:color w:val="000000" w:themeColor="text1"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E89338" w14:textId="77777777" w:rsidR="00FB78CB" w:rsidRPr="006E132F" w:rsidRDefault="00FB78CB" w:rsidP="00FB78CB">
      <w:pPr>
        <w:rPr>
          <w:rFonts w:ascii="Cambria" w:hAnsi="Cambria"/>
          <w:color w:val="000000" w:themeColor="text1"/>
          <w:sz w:val="20"/>
        </w:rPr>
      </w:pPr>
    </w:p>
    <w:p w14:paraId="14649501" w14:textId="77777777" w:rsidR="00FB78CB" w:rsidRPr="006E132F" w:rsidRDefault="00FB78CB" w:rsidP="00FB78CB">
      <w:pPr>
        <w:rPr>
          <w:rFonts w:ascii="Cambria" w:hAnsi="Cambria"/>
          <w:color w:val="000000" w:themeColor="text1"/>
          <w:sz w:val="20"/>
        </w:rPr>
      </w:pPr>
    </w:p>
    <w:p w14:paraId="71B4F751" w14:textId="77777777" w:rsidR="00FB78CB" w:rsidRPr="006E132F" w:rsidRDefault="00FB78CB" w:rsidP="00FB78CB">
      <w:pPr>
        <w:rPr>
          <w:rFonts w:ascii="Cambria" w:hAnsi="Cambria"/>
          <w:b/>
          <w:bCs/>
          <w:color w:val="000000" w:themeColor="text1"/>
          <w:sz w:val="20"/>
        </w:rPr>
      </w:pPr>
      <w:r w:rsidRPr="006E132F">
        <w:rPr>
          <w:rFonts w:ascii="Cambria" w:hAnsi="Cambria"/>
          <w:color w:val="000000" w:themeColor="text1"/>
          <w:sz w:val="20"/>
        </w:rPr>
        <w:lastRenderedPageBreak/>
        <w:t xml:space="preserve">Przedsiębiorca może zwrócić się z wnioskiem o umorzenie pożyczki wraz z odsetkami, jednak wyłącznie pod warunkiem, że będzie prowadził działalność przez okres </w:t>
      </w:r>
      <w:r w:rsidRPr="006E132F">
        <w:rPr>
          <w:rFonts w:ascii="Cambria" w:hAnsi="Cambria"/>
          <w:b/>
          <w:bCs/>
          <w:color w:val="000000" w:themeColor="text1"/>
          <w:sz w:val="20"/>
        </w:rPr>
        <w:t xml:space="preserve">3 miesięcy od dnia udzielenia pożyczki. </w:t>
      </w:r>
    </w:p>
    <w:p w14:paraId="4680C1DB" w14:textId="77777777" w:rsidR="00FB78CB" w:rsidRDefault="00FB78CB" w:rsidP="00FB78CB">
      <w:pPr>
        <w:rPr>
          <w:rFonts w:ascii="Cambria" w:hAnsi="Cambria"/>
          <w:color w:val="000000" w:themeColor="text1"/>
          <w:sz w:val="20"/>
        </w:rPr>
      </w:pPr>
    </w:p>
    <w:p w14:paraId="5499C9E5" w14:textId="77777777" w:rsidR="00FB78CB" w:rsidRPr="006E132F" w:rsidRDefault="00FB78CB" w:rsidP="00FB78CB">
      <w:pPr>
        <w:rPr>
          <w:rFonts w:ascii="Cambria" w:hAnsi="Cambria"/>
          <w:color w:val="000000" w:themeColor="text1"/>
          <w:sz w:val="20"/>
        </w:rPr>
      </w:pPr>
    </w:p>
    <w:p w14:paraId="2AE34024" w14:textId="77777777" w:rsidR="00FB78CB" w:rsidRPr="006E132F" w:rsidRDefault="00FB78CB" w:rsidP="00FB78CB">
      <w:pPr>
        <w:pStyle w:val="Akapitzlist"/>
        <w:numPr>
          <w:ilvl w:val="0"/>
          <w:numId w:val="31"/>
        </w:numPr>
        <w:suppressAutoHyphens w:val="0"/>
        <w:spacing w:before="0" w:after="160" w:line="259" w:lineRule="auto"/>
        <w:rPr>
          <w:rFonts w:ascii="Cambria" w:hAnsi="Cambria"/>
          <w:color w:val="000000" w:themeColor="text1"/>
          <w:sz w:val="20"/>
        </w:rPr>
      </w:pPr>
      <w:r w:rsidRPr="006E132F">
        <w:rPr>
          <w:rFonts w:ascii="Cambria" w:hAnsi="Cambria"/>
          <w:b/>
          <w:bCs/>
          <w:color w:val="000000" w:themeColor="text1"/>
          <w:sz w:val="20"/>
        </w:rPr>
        <w:t>ŚWIADCZENIE POSTOJOWE – ZMIANA CHARAKTERU ŚWIADCZENIA Z JEDNOKROTNEGO DO NAWET TRZYKROTNEJ MOŻLIWOŚCI WYPŁATY</w:t>
      </w:r>
    </w:p>
    <w:p w14:paraId="6B2078C5" w14:textId="77777777" w:rsidR="00FB78CB" w:rsidRPr="006E132F" w:rsidRDefault="00FB78CB" w:rsidP="00FB78CB">
      <w:pPr>
        <w:rPr>
          <w:rFonts w:ascii="Cambria" w:hAnsi="Cambria"/>
          <w:b/>
          <w:bCs/>
          <w:color w:val="000000" w:themeColor="text1"/>
          <w:sz w:val="20"/>
        </w:rPr>
      </w:pPr>
      <w:r w:rsidRPr="006E132F">
        <w:rPr>
          <w:rFonts w:ascii="Cambria" w:hAnsi="Cambria"/>
          <w:color w:val="000000" w:themeColor="text1"/>
          <w:sz w:val="20"/>
        </w:rPr>
        <w:t>W przypadku przedsiębiorców oraz osób wykonujących umowy cywilnoprawne – proponuje się wprowadzenie możliwości ponownego przyznani</w:t>
      </w:r>
      <w:r>
        <w:rPr>
          <w:rFonts w:ascii="Cambria" w:hAnsi="Cambria"/>
          <w:color w:val="000000" w:themeColor="text1"/>
          <w:sz w:val="20"/>
        </w:rPr>
        <w:t>a</w:t>
      </w:r>
      <w:r w:rsidRPr="006E132F">
        <w:rPr>
          <w:rFonts w:ascii="Cambria" w:hAnsi="Cambria"/>
          <w:color w:val="000000" w:themeColor="text1"/>
          <w:sz w:val="20"/>
        </w:rPr>
        <w:t xml:space="preserve"> przedmiotowego świadczenia – </w:t>
      </w:r>
      <w:r w:rsidRPr="006E132F">
        <w:rPr>
          <w:rFonts w:ascii="Cambria" w:hAnsi="Cambria"/>
          <w:b/>
          <w:bCs/>
          <w:color w:val="000000" w:themeColor="text1"/>
          <w:sz w:val="20"/>
        </w:rPr>
        <w:t xml:space="preserve">jednak nie więcej niż trzykrotnie. </w:t>
      </w:r>
    </w:p>
    <w:p w14:paraId="57C619A6" w14:textId="77777777" w:rsidR="00FB78CB" w:rsidRDefault="00FB78CB" w:rsidP="00FB78CB">
      <w:pPr>
        <w:rPr>
          <w:rFonts w:ascii="Cambria" w:hAnsi="Cambria"/>
          <w:b/>
          <w:bCs/>
          <w:color w:val="000000" w:themeColor="text1"/>
          <w:sz w:val="20"/>
        </w:rPr>
      </w:pPr>
      <w:r w:rsidRPr="006E132F">
        <w:rPr>
          <w:rFonts w:ascii="Cambria" w:hAnsi="Cambria"/>
          <w:b/>
          <w:bCs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68F49" wp14:editId="72338E4D">
                <wp:simplePos x="0" y="0"/>
                <wp:positionH relativeFrom="column">
                  <wp:posOffset>26413</wp:posOffset>
                </wp:positionH>
                <wp:positionV relativeFrom="paragraph">
                  <wp:posOffset>136000</wp:posOffset>
                </wp:positionV>
                <wp:extent cx="5695950" cy="876300"/>
                <wp:effectExtent l="0" t="0" r="19050" b="190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8763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AA14BC9" w14:textId="77777777" w:rsidR="00FB78CB" w:rsidRPr="00FB78CB" w:rsidRDefault="00FB78CB" w:rsidP="00FB78CB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</w:rPr>
                            </w:pPr>
                            <w:r w:rsidRPr="00FB78CB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</w:rPr>
                              <w:t>Świadczenie skierowane jest do podmiotów prowadzących pozarolniczą działalność, a więc zarówno dla tych, którzy prowadzą jednoosobową działalność i zatrudniają pracowników, jak również osób wykonujących pracę na podstawie umowy cywilnoprawnej – po spełnieniu dotychczasowych warunków.</w:t>
                            </w:r>
                          </w:p>
                          <w:p w14:paraId="48E55BC0" w14:textId="77777777" w:rsidR="00FB78CB" w:rsidRPr="00FB78CB" w:rsidRDefault="00FB78CB" w:rsidP="00FB78CB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21FDA6A6" w14:textId="77777777" w:rsidR="00FB78CB" w:rsidRPr="00FB78CB" w:rsidRDefault="00FB78CB" w:rsidP="00FB78CB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1AEEF63D" w14:textId="77777777" w:rsidR="00FB78CB" w:rsidRPr="00FB78CB" w:rsidRDefault="00FB78CB" w:rsidP="00FB78CB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5C694405" w14:textId="77777777" w:rsidR="00FB78CB" w:rsidRPr="00FB78CB" w:rsidRDefault="00FB78CB" w:rsidP="00FB78CB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68F49" id="Pole tekstowe 7" o:spid="_x0000_s1029" type="#_x0000_t202" style="position:absolute;left:0;text-align:left;margin-left:2.1pt;margin-top:10.7pt;width:448.5pt;height:6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" fillcolor="#4472c4 [3208]" strokecolor="red" strokeweight=".5pt">
                <v:textbox>
                  <w:txbxContent>
                    <w:p w14:paraId="6AA14BC9" w14:textId="77777777" w:rsidR="00FB78CB" w:rsidRPr="00FB78CB" w:rsidRDefault="00FB78CB" w:rsidP="00FB78CB">
                      <w:pPr>
                        <w:rPr>
                          <w:rFonts w:ascii="Cambria" w:hAnsi="Cambria"/>
                          <w:b/>
                          <w:bCs/>
                          <w:sz w:val="20"/>
                        </w:rPr>
                      </w:pPr>
                      <w:r w:rsidRPr="00FB78CB">
                        <w:rPr>
                          <w:rFonts w:ascii="Cambria" w:hAnsi="Cambria"/>
                          <w:b/>
                          <w:bCs/>
                          <w:sz w:val="20"/>
                        </w:rPr>
                        <w:t>Świadczenie skierowane jest do podmiotów prowadzących pozarolniczą działalność, a więc zarówno dla tych, którzy prowadzą jednoosobową działalność i zatrudniają pracowników, jak również osób wykonujących pracę na podstawie umowy cywilnoprawnej – po spełnieniu dotychczasowych warunków.</w:t>
                      </w:r>
                    </w:p>
                    <w:p w14:paraId="48E55BC0" w14:textId="77777777" w:rsidR="00FB78CB" w:rsidRPr="00FB78CB" w:rsidRDefault="00FB78CB" w:rsidP="00FB78CB">
                      <w:pPr>
                        <w:rPr>
                          <w:rFonts w:ascii="Cambria" w:hAnsi="Cambria"/>
                          <w:b/>
                          <w:bCs/>
                          <w:sz w:val="20"/>
                        </w:rPr>
                      </w:pPr>
                    </w:p>
                    <w:p w14:paraId="21FDA6A6" w14:textId="77777777" w:rsidR="00FB78CB" w:rsidRPr="00FB78CB" w:rsidRDefault="00FB78CB" w:rsidP="00FB78CB">
                      <w:pPr>
                        <w:rPr>
                          <w:rFonts w:ascii="Cambria" w:hAnsi="Cambria"/>
                          <w:b/>
                          <w:bCs/>
                          <w:sz w:val="20"/>
                        </w:rPr>
                      </w:pPr>
                    </w:p>
                    <w:p w14:paraId="1AEEF63D" w14:textId="77777777" w:rsidR="00FB78CB" w:rsidRPr="00FB78CB" w:rsidRDefault="00FB78CB" w:rsidP="00FB78CB">
                      <w:pPr>
                        <w:rPr>
                          <w:rFonts w:ascii="Cambria" w:hAnsi="Cambria"/>
                          <w:b/>
                          <w:bCs/>
                          <w:sz w:val="20"/>
                        </w:rPr>
                      </w:pPr>
                    </w:p>
                    <w:p w14:paraId="5C694405" w14:textId="77777777" w:rsidR="00FB78CB" w:rsidRPr="00FB78CB" w:rsidRDefault="00FB78CB" w:rsidP="00FB78CB">
                      <w:pPr>
                        <w:rPr>
                          <w:rFonts w:ascii="Cambria" w:hAnsi="Cambria"/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132F">
        <w:rPr>
          <w:rFonts w:ascii="Cambria" w:hAnsi="Cambria"/>
          <w:b/>
          <w:bCs/>
          <w:color w:val="000000" w:themeColor="text1"/>
          <w:sz w:val="20"/>
        </w:rPr>
        <w:br/>
      </w:r>
      <w:r w:rsidRPr="006E132F">
        <w:rPr>
          <w:rFonts w:ascii="Cambria" w:hAnsi="Cambria"/>
          <w:b/>
          <w:bCs/>
          <w:color w:val="000000" w:themeColor="text1"/>
          <w:sz w:val="20"/>
        </w:rPr>
        <w:br/>
      </w:r>
      <w:r w:rsidRPr="006E132F">
        <w:rPr>
          <w:rFonts w:ascii="Cambria" w:hAnsi="Cambria"/>
          <w:b/>
          <w:bCs/>
          <w:color w:val="000000" w:themeColor="text1"/>
          <w:sz w:val="20"/>
        </w:rPr>
        <w:br/>
      </w:r>
      <w:r w:rsidRPr="006E132F">
        <w:rPr>
          <w:rFonts w:ascii="Cambria" w:hAnsi="Cambria"/>
          <w:b/>
          <w:bCs/>
          <w:color w:val="000000" w:themeColor="text1"/>
          <w:sz w:val="20"/>
        </w:rPr>
        <w:br/>
      </w:r>
      <w:r w:rsidRPr="006E132F">
        <w:rPr>
          <w:rFonts w:ascii="Cambria" w:hAnsi="Cambria"/>
          <w:b/>
          <w:bCs/>
          <w:color w:val="000000" w:themeColor="text1"/>
          <w:sz w:val="20"/>
        </w:rPr>
        <w:br/>
      </w:r>
      <w:r w:rsidRPr="006E132F">
        <w:rPr>
          <w:rFonts w:ascii="Cambria" w:hAnsi="Cambria"/>
          <w:b/>
          <w:bCs/>
          <w:color w:val="000000" w:themeColor="text1"/>
          <w:sz w:val="20"/>
        </w:rPr>
        <w:br/>
      </w:r>
    </w:p>
    <w:p w14:paraId="65D2C759" w14:textId="77777777" w:rsidR="00FB78CB" w:rsidRPr="006E132F" w:rsidRDefault="00FB78CB" w:rsidP="00FB78CB">
      <w:pPr>
        <w:rPr>
          <w:rFonts w:ascii="Cambria" w:hAnsi="Cambria"/>
          <w:b/>
          <w:bCs/>
          <w:color w:val="000000" w:themeColor="text1"/>
          <w:sz w:val="20"/>
          <w:u w:val="single"/>
        </w:rPr>
      </w:pPr>
      <w:r w:rsidRPr="006E132F">
        <w:rPr>
          <w:rFonts w:ascii="Cambria" w:hAnsi="Cambria"/>
          <w:b/>
          <w:bCs/>
          <w:color w:val="000000" w:themeColor="text1"/>
          <w:sz w:val="20"/>
        </w:rPr>
        <w:t xml:space="preserve">Ponowne przyznanie świadczenia postojowego może nastąpić nie wcześniej niż w miesiącu następnym po miesiącu wypłaty pierwszego świadczenia – </w:t>
      </w:r>
      <w:r w:rsidRPr="006E132F">
        <w:rPr>
          <w:rFonts w:ascii="Cambria" w:hAnsi="Cambria"/>
          <w:b/>
          <w:bCs/>
          <w:color w:val="000000" w:themeColor="text1"/>
          <w:sz w:val="20"/>
          <w:u w:val="single"/>
        </w:rPr>
        <w:t>pod warunkiem wykazania w oświadczeniu, że sytuacja materialna nie uległa poprawie.</w:t>
      </w:r>
    </w:p>
    <w:p w14:paraId="62369D90" w14:textId="77777777" w:rsidR="00FB78CB" w:rsidRPr="006E132F" w:rsidRDefault="00FB78CB" w:rsidP="00FB78CB">
      <w:pPr>
        <w:rPr>
          <w:rFonts w:ascii="Cambria" w:hAnsi="Cambria"/>
          <w:b/>
          <w:bCs/>
          <w:color w:val="000000" w:themeColor="text1"/>
          <w:sz w:val="20"/>
        </w:rPr>
      </w:pPr>
    </w:p>
    <w:p w14:paraId="64477D4B" w14:textId="77777777" w:rsidR="00FB78CB" w:rsidRPr="006E132F" w:rsidRDefault="00FB78CB" w:rsidP="00FB78CB">
      <w:pPr>
        <w:pStyle w:val="Akapitzlist"/>
        <w:numPr>
          <w:ilvl w:val="0"/>
          <w:numId w:val="31"/>
        </w:numPr>
        <w:suppressAutoHyphens w:val="0"/>
        <w:spacing w:before="0" w:after="160" w:line="259" w:lineRule="auto"/>
        <w:rPr>
          <w:rFonts w:ascii="Cambria" w:hAnsi="Cambria"/>
          <w:b/>
          <w:bCs/>
          <w:color w:val="000000" w:themeColor="text1"/>
          <w:sz w:val="20"/>
        </w:rPr>
      </w:pPr>
      <w:r w:rsidRPr="006E132F">
        <w:rPr>
          <w:rFonts w:ascii="Cambria" w:hAnsi="Cambria"/>
          <w:b/>
          <w:bCs/>
          <w:color w:val="000000" w:themeColor="text1"/>
          <w:sz w:val="20"/>
        </w:rPr>
        <w:t>MOŻLIWOŚĆ RENEGOCJACJI WARUNKÓW KREDYTÓW BANKOWYCH</w:t>
      </w:r>
    </w:p>
    <w:p w14:paraId="259E9A3D" w14:textId="77777777" w:rsidR="00FB78CB" w:rsidRPr="006E132F" w:rsidRDefault="00FB78CB" w:rsidP="00FB78CB">
      <w:pPr>
        <w:rPr>
          <w:rFonts w:ascii="Cambria" w:hAnsi="Cambria"/>
          <w:color w:val="000000" w:themeColor="text1"/>
          <w:sz w:val="20"/>
        </w:rPr>
      </w:pPr>
      <w:r w:rsidRPr="006E132F">
        <w:rPr>
          <w:rFonts w:ascii="Cambria" w:hAnsi="Cambria"/>
          <w:color w:val="000000" w:themeColor="text1"/>
          <w:sz w:val="20"/>
        </w:rPr>
        <w:t>Wprowadzono możliwość renegocjacji warunków kredytów bankowych, bez ograniczeń w zakresie wielkości przedsiębiorstwa – ostateczne rozwiązania będą jednak wynikiem negocjacji stron umowy kredytu, sama ustawa w aktualnym brzmieniu nie wprowadza żadnych dodatkowych mechanizmów w tym zakresie.</w:t>
      </w:r>
    </w:p>
    <w:p w14:paraId="508FD087" w14:textId="77777777" w:rsidR="00FB78CB" w:rsidRPr="006E132F" w:rsidRDefault="00FB78CB" w:rsidP="00FB78CB">
      <w:pPr>
        <w:rPr>
          <w:rFonts w:ascii="Cambria" w:hAnsi="Cambria"/>
          <w:color w:val="000000" w:themeColor="text1"/>
          <w:sz w:val="20"/>
        </w:rPr>
      </w:pPr>
    </w:p>
    <w:p w14:paraId="383FB7FD" w14:textId="77777777" w:rsidR="00FB78CB" w:rsidRPr="006E132F" w:rsidRDefault="00FB78CB" w:rsidP="00FB78CB">
      <w:pPr>
        <w:pStyle w:val="Akapitzlist"/>
        <w:numPr>
          <w:ilvl w:val="0"/>
          <w:numId w:val="31"/>
        </w:numPr>
        <w:suppressAutoHyphens w:val="0"/>
        <w:spacing w:before="0" w:after="160" w:line="259" w:lineRule="auto"/>
        <w:rPr>
          <w:rFonts w:ascii="Cambria" w:hAnsi="Cambria"/>
          <w:b/>
          <w:bCs/>
          <w:color w:val="FF0000"/>
          <w:sz w:val="20"/>
          <w:u w:val="single"/>
        </w:rPr>
      </w:pPr>
      <w:r w:rsidRPr="006E132F">
        <w:rPr>
          <w:rFonts w:ascii="Cambria" w:hAnsi="Cambria"/>
          <w:b/>
          <w:bCs/>
          <w:color w:val="000000" w:themeColor="text1"/>
          <w:sz w:val="20"/>
        </w:rPr>
        <w:t xml:space="preserve">ZASIŁEK DLA ROLNIKÓW </w:t>
      </w:r>
    </w:p>
    <w:p w14:paraId="7F8242CB" w14:textId="77777777" w:rsidR="00FB78CB" w:rsidRPr="006E132F" w:rsidRDefault="00FB78CB" w:rsidP="00FB78CB">
      <w:pPr>
        <w:rPr>
          <w:rFonts w:ascii="Cambria" w:hAnsi="Cambria"/>
          <w:b/>
          <w:bCs/>
          <w:color w:val="000000" w:themeColor="text1"/>
          <w:sz w:val="20"/>
        </w:rPr>
      </w:pPr>
      <w:r w:rsidRPr="006E132F">
        <w:rPr>
          <w:rFonts w:ascii="Cambria" w:hAnsi="Cambria"/>
          <w:color w:val="000000" w:themeColor="text1"/>
          <w:sz w:val="20"/>
        </w:rPr>
        <w:t xml:space="preserve">Rolnikom oraz pracującym z nimi domownikom, w momencie objęcia obowiązkową kwarantanną, nadzorem epidemiologicznym oraz hospitalizacja w związku z COVID-19, będzie przysługiwał zasiłek w wysokości </w:t>
      </w:r>
      <w:r w:rsidRPr="006E132F">
        <w:rPr>
          <w:rFonts w:ascii="Cambria" w:hAnsi="Cambria"/>
          <w:b/>
          <w:bCs/>
          <w:color w:val="000000" w:themeColor="text1"/>
          <w:sz w:val="20"/>
        </w:rPr>
        <w:t>50% minimalnego wynagrodzenia za pracę.</w:t>
      </w:r>
    </w:p>
    <w:p w14:paraId="43495670" w14:textId="77777777" w:rsidR="00FB78CB" w:rsidRPr="006E132F" w:rsidRDefault="00FB78CB" w:rsidP="00FB78CB">
      <w:pPr>
        <w:rPr>
          <w:rFonts w:ascii="Cambria" w:hAnsi="Cambria"/>
          <w:b/>
          <w:bCs/>
          <w:color w:val="000000" w:themeColor="text1"/>
          <w:sz w:val="20"/>
        </w:rPr>
      </w:pPr>
    </w:p>
    <w:p w14:paraId="6F85E7B8" w14:textId="77777777" w:rsidR="00FB78CB" w:rsidRPr="006E132F" w:rsidRDefault="00FB78CB" w:rsidP="00FB78CB">
      <w:pPr>
        <w:pStyle w:val="Akapitzlist"/>
        <w:numPr>
          <w:ilvl w:val="0"/>
          <w:numId w:val="31"/>
        </w:numPr>
        <w:suppressAutoHyphens w:val="0"/>
        <w:spacing w:before="0" w:after="160" w:line="259" w:lineRule="auto"/>
        <w:rPr>
          <w:rFonts w:ascii="Cambria" w:hAnsi="Cambria"/>
          <w:b/>
          <w:bCs/>
          <w:color w:val="000000" w:themeColor="text1"/>
          <w:sz w:val="20"/>
        </w:rPr>
      </w:pPr>
      <w:r w:rsidRPr="006E132F">
        <w:rPr>
          <w:rFonts w:ascii="Cambria" w:hAnsi="Cambria"/>
          <w:b/>
          <w:bCs/>
          <w:color w:val="000000" w:themeColor="text1"/>
          <w:sz w:val="20"/>
        </w:rPr>
        <w:t>ROZSZERZENIE KATALOGU PODMIOTÓW UPRAWNIONYCH DO ŚWIADCZEŃ NA RZECZ OCHRONY MIEJSC PRACY (art. 15G)</w:t>
      </w:r>
    </w:p>
    <w:p w14:paraId="7F17604C" w14:textId="77777777" w:rsidR="00FB78CB" w:rsidRPr="006E132F" w:rsidRDefault="00FB78CB" w:rsidP="00FB78CB">
      <w:pPr>
        <w:rPr>
          <w:rFonts w:ascii="Cambria" w:hAnsi="Cambria"/>
          <w:b/>
          <w:bCs/>
          <w:color w:val="000000" w:themeColor="text1"/>
          <w:sz w:val="20"/>
        </w:rPr>
      </w:pPr>
      <w:r w:rsidRPr="006E132F">
        <w:rPr>
          <w:rFonts w:ascii="Cambria" w:hAnsi="Cambria"/>
          <w:color w:val="000000" w:themeColor="text1"/>
          <w:sz w:val="20"/>
        </w:rPr>
        <w:t xml:space="preserve">Dotychczasowy katalog podmiotów uprawnionych do złożenia wniosku o przyznanie świadczeń na rzecz ochrony miejsc pracy został w omawianym projekcie ustawy rozszerzony o </w:t>
      </w:r>
      <w:r w:rsidRPr="006E132F">
        <w:rPr>
          <w:rFonts w:ascii="Cambria" w:hAnsi="Cambria"/>
          <w:b/>
          <w:bCs/>
          <w:color w:val="000000" w:themeColor="text1"/>
          <w:sz w:val="20"/>
        </w:rPr>
        <w:t>organizacje pozarządowe i podmioty w rozumieniu ustawy o działalności pożytku publicznego i o wolontariacie.</w:t>
      </w:r>
    </w:p>
    <w:p w14:paraId="3ED63786" w14:textId="77777777" w:rsidR="00FB78CB" w:rsidRPr="006E132F" w:rsidRDefault="00FB78CB" w:rsidP="00FB78CB">
      <w:pPr>
        <w:rPr>
          <w:rFonts w:ascii="Cambria" w:hAnsi="Cambria"/>
          <w:b/>
          <w:bCs/>
          <w:color w:val="000000" w:themeColor="text1"/>
          <w:sz w:val="20"/>
        </w:rPr>
      </w:pPr>
    </w:p>
    <w:p w14:paraId="3B1CE985" w14:textId="77777777" w:rsidR="00FB78CB" w:rsidRDefault="00FB78CB" w:rsidP="00FB78CB">
      <w:pPr>
        <w:pStyle w:val="Akapitzlist"/>
        <w:numPr>
          <w:ilvl w:val="0"/>
          <w:numId w:val="31"/>
        </w:numPr>
        <w:suppressAutoHyphens w:val="0"/>
        <w:spacing w:before="0" w:after="160" w:line="259" w:lineRule="auto"/>
        <w:rPr>
          <w:rFonts w:ascii="Cambria" w:hAnsi="Cambria"/>
          <w:b/>
          <w:bCs/>
          <w:color w:val="000000" w:themeColor="text1"/>
          <w:sz w:val="20"/>
        </w:rPr>
      </w:pPr>
      <w:r>
        <w:rPr>
          <w:rFonts w:ascii="Cambria" w:hAnsi="Cambria"/>
          <w:b/>
          <w:bCs/>
          <w:color w:val="000000" w:themeColor="text1"/>
          <w:sz w:val="20"/>
        </w:rPr>
        <w:lastRenderedPageBreak/>
        <w:t>POMOC UDZIELANA PRZEZ</w:t>
      </w:r>
      <w:r w:rsidRPr="006E132F">
        <w:rPr>
          <w:rFonts w:ascii="Cambria" w:hAnsi="Cambria"/>
          <w:b/>
          <w:bCs/>
          <w:color w:val="000000" w:themeColor="text1"/>
          <w:sz w:val="20"/>
        </w:rPr>
        <w:t xml:space="preserve"> AGENCJ</w:t>
      </w:r>
      <w:r>
        <w:rPr>
          <w:rFonts w:ascii="Cambria" w:hAnsi="Cambria"/>
          <w:b/>
          <w:bCs/>
          <w:color w:val="000000" w:themeColor="text1"/>
          <w:sz w:val="20"/>
        </w:rPr>
        <w:t>Ę</w:t>
      </w:r>
      <w:r w:rsidRPr="006E132F">
        <w:rPr>
          <w:rFonts w:ascii="Cambria" w:hAnsi="Cambria"/>
          <w:b/>
          <w:bCs/>
          <w:color w:val="000000" w:themeColor="text1"/>
          <w:sz w:val="20"/>
        </w:rPr>
        <w:t xml:space="preserve"> ROZWOJU PRZEMYSŁU S.A. (ARP)</w:t>
      </w:r>
    </w:p>
    <w:p w14:paraId="5F3764FD" w14:textId="77777777" w:rsidR="00FB78CB" w:rsidRPr="006E132F" w:rsidRDefault="00FB78CB" w:rsidP="00FB78CB">
      <w:pPr>
        <w:pStyle w:val="Akapitzlist"/>
        <w:rPr>
          <w:rFonts w:ascii="Cambria" w:hAnsi="Cambria"/>
          <w:b/>
          <w:bCs/>
          <w:color w:val="000000" w:themeColor="text1"/>
          <w:sz w:val="20"/>
        </w:rPr>
      </w:pPr>
    </w:p>
    <w:p w14:paraId="6B2A174C" w14:textId="77777777" w:rsidR="00FB78CB" w:rsidRPr="006E132F" w:rsidRDefault="00FB78CB" w:rsidP="00FB78CB">
      <w:pPr>
        <w:rPr>
          <w:rFonts w:ascii="Cambria" w:hAnsi="Cambria"/>
          <w:color w:val="000000" w:themeColor="text1"/>
          <w:sz w:val="20"/>
        </w:rPr>
      </w:pPr>
      <w:r w:rsidRPr="006E132F">
        <w:rPr>
          <w:rFonts w:ascii="Cambria" w:hAnsi="Cambria"/>
          <w:color w:val="000000" w:themeColor="text1"/>
          <w:sz w:val="20"/>
        </w:rPr>
        <w:t>Zadaniem ARP będzie udzielanie wsparcia przedsiębiorcom, którzy znaleźli się w trudnej sytuacji gospodarczej na skutek ograniczeń związanych z COVID-19. ARP umożliwia przedsiębiorcom różnego rodzaju formy finansowego wsparcia, w tym: pożyczki, gwarancje, poręczenia, leasingi – katalog pozostaje otwarty. Zgodnie z projektem ustawy wielkość wsparcia będzie uzależniona od faktycznych skutków finansowych, jakie dany przedsiębiorca poniósł.</w:t>
      </w:r>
    </w:p>
    <w:p w14:paraId="48CCB333" w14:textId="77777777" w:rsidR="00FB78CB" w:rsidRDefault="00FB78CB" w:rsidP="00FB78CB">
      <w:pPr>
        <w:rPr>
          <w:rFonts w:ascii="Cambria" w:hAnsi="Cambria"/>
          <w:b/>
          <w:bCs/>
          <w:color w:val="000000" w:themeColor="text1"/>
          <w:sz w:val="20"/>
        </w:rPr>
      </w:pPr>
      <w:r w:rsidRPr="006E132F">
        <w:rPr>
          <w:rFonts w:ascii="Cambria" w:hAnsi="Cambria"/>
          <w:color w:val="000000" w:themeColor="text1"/>
          <w:sz w:val="20"/>
        </w:rPr>
        <w:t xml:space="preserve">Środki przekazane przez ARP nie mogą być wykorzystane na regulowanie zobowiązań beneficjenta wobec spółek zależnych i dominujących, a także wspólników, członków rodziny oraz osób bliskich. Procedurę związaną z udzieleniem wsparcia </w:t>
      </w:r>
      <w:r w:rsidRPr="006E132F">
        <w:rPr>
          <w:rFonts w:ascii="Cambria" w:hAnsi="Cambria"/>
          <w:b/>
          <w:bCs/>
          <w:color w:val="000000" w:themeColor="text1"/>
          <w:sz w:val="20"/>
        </w:rPr>
        <w:t>uruchamia wniosek zainteresowanego przedsiębiorcy wraz z jego uzasadnieniem – wzór wniosku ostanie udostępniony na stronach internetowych przez ARP.</w:t>
      </w:r>
    </w:p>
    <w:p w14:paraId="70037747" w14:textId="77777777" w:rsidR="00FB78CB" w:rsidRPr="006E132F" w:rsidRDefault="00FB78CB" w:rsidP="00FB78CB">
      <w:pPr>
        <w:rPr>
          <w:rFonts w:ascii="Cambria" w:hAnsi="Cambria"/>
          <w:b/>
          <w:bCs/>
          <w:color w:val="000000" w:themeColor="text1"/>
          <w:sz w:val="20"/>
        </w:rPr>
      </w:pPr>
      <w:r>
        <w:rPr>
          <w:rFonts w:ascii="Cambria" w:hAnsi="Cambria"/>
          <w:b/>
          <w:bCs/>
          <w:color w:val="000000" w:themeColor="text1"/>
          <w:sz w:val="20"/>
        </w:rPr>
        <w:t xml:space="preserve">WIĘCEJ INFORMACJI NA STRONIE INTERNETOWEJ ARP - </w:t>
      </w:r>
      <w:hyperlink r:id="rId7" w:history="1">
        <w:r w:rsidRPr="00E16A83">
          <w:rPr>
            <w:rStyle w:val="Hipercze"/>
            <w:rFonts w:ascii="Cambria" w:hAnsi="Cambria"/>
            <w:b/>
            <w:bCs/>
            <w:sz w:val="20"/>
          </w:rPr>
          <w:t>https://www.arp-tarcza.pl</w:t>
        </w:r>
      </w:hyperlink>
      <w:r>
        <w:rPr>
          <w:rFonts w:ascii="Cambria" w:hAnsi="Cambria"/>
          <w:b/>
          <w:bCs/>
          <w:color w:val="000000" w:themeColor="text1"/>
          <w:sz w:val="20"/>
        </w:rPr>
        <w:t xml:space="preserve"> </w:t>
      </w:r>
    </w:p>
    <w:p w14:paraId="5003D122" w14:textId="77777777" w:rsidR="00FB78CB" w:rsidRPr="006E132F" w:rsidRDefault="00FB78CB" w:rsidP="00FB78CB">
      <w:pPr>
        <w:rPr>
          <w:rFonts w:ascii="Cambria" w:hAnsi="Cambria"/>
          <w:b/>
          <w:bCs/>
          <w:color w:val="000000" w:themeColor="text1"/>
          <w:sz w:val="20"/>
        </w:rPr>
      </w:pPr>
    </w:p>
    <w:p w14:paraId="3D7AE662" w14:textId="77777777" w:rsidR="00FB78CB" w:rsidRPr="006E132F" w:rsidRDefault="00FB78CB" w:rsidP="00FB78CB">
      <w:pPr>
        <w:pStyle w:val="Akapitzlist"/>
        <w:numPr>
          <w:ilvl w:val="0"/>
          <w:numId w:val="31"/>
        </w:numPr>
        <w:suppressAutoHyphens w:val="0"/>
        <w:spacing w:before="0" w:after="160" w:line="259" w:lineRule="auto"/>
        <w:rPr>
          <w:rFonts w:ascii="Cambria" w:hAnsi="Cambria"/>
          <w:b/>
          <w:bCs/>
          <w:color w:val="000000" w:themeColor="text1"/>
          <w:sz w:val="20"/>
        </w:rPr>
      </w:pPr>
      <w:r w:rsidRPr="006E132F">
        <w:rPr>
          <w:rFonts w:ascii="Cambria" w:hAnsi="Cambria"/>
          <w:b/>
          <w:bCs/>
          <w:color w:val="000000" w:themeColor="text1"/>
          <w:sz w:val="20"/>
        </w:rPr>
        <w:t>ZMIANY W KSH</w:t>
      </w:r>
    </w:p>
    <w:p w14:paraId="2EE5200F" w14:textId="77777777" w:rsidR="00FB78CB" w:rsidRPr="006E132F" w:rsidRDefault="00FB78CB" w:rsidP="00FB78CB">
      <w:pPr>
        <w:rPr>
          <w:rFonts w:ascii="Cambria" w:hAnsi="Cambria"/>
          <w:b/>
          <w:bCs/>
          <w:color w:val="000000" w:themeColor="text1"/>
          <w:sz w:val="20"/>
        </w:rPr>
      </w:pPr>
      <w:r w:rsidRPr="006E132F">
        <w:rPr>
          <w:rFonts w:ascii="Cambria" w:hAnsi="Cambria"/>
          <w:b/>
          <w:bCs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E71550" wp14:editId="422962EC">
                <wp:simplePos x="0" y="0"/>
                <wp:positionH relativeFrom="column">
                  <wp:posOffset>75061</wp:posOffset>
                </wp:positionH>
                <wp:positionV relativeFrom="paragraph">
                  <wp:posOffset>16846</wp:posOffset>
                </wp:positionV>
                <wp:extent cx="5511800" cy="1942155"/>
                <wp:effectExtent l="0" t="0" r="12700" b="1397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800" cy="194215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9756BDC" w14:textId="77777777" w:rsidR="00FB78CB" w:rsidRPr="0007105C" w:rsidRDefault="00FB78CB" w:rsidP="00FB78CB">
                            <w:pPr>
                              <w:pStyle w:val="Akapitzlist"/>
                              <w:numPr>
                                <w:ilvl w:val="0"/>
                                <w:numId w:val="34"/>
                              </w:numPr>
                              <w:suppressAutoHyphens w:val="0"/>
                              <w:spacing w:before="0" w:after="160" w:line="259" w:lineRule="auto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 w:rsidRPr="0007105C">
                              <w:rPr>
                                <w:rFonts w:ascii="Cambria" w:hAnsi="Cambria"/>
                                <w:sz w:val="20"/>
                              </w:rPr>
                              <w:t>Dodano zapisy zgodnie z którym rada nadzorcza w spółce zoo oraz S.A. będzie mogła podejmować uchwały w trybie pisemnym lub przy wykorzystaniu środków bezpośredniego porozumiewania się na odległość (również w sprawach, gdzie przewidziane jest głosowanie tajne);</w:t>
                            </w:r>
                          </w:p>
                          <w:p w14:paraId="28B7C6B7" w14:textId="77777777" w:rsidR="00FB78CB" w:rsidRPr="0007105C" w:rsidRDefault="00FB78CB" w:rsidP="00FB78CB">
                            <w:pPr>
                              <w:pStyle w:val="Akapitzlist"/>
                              <w:numPr>
                                <w:ilvl w:val="0"/>
                                <w:numId w:val="34"/>
                              </w:numPr>
                              <w:suppressAutoHyphens w:val="0"/>
                              <w:spacing w:before="0" w:after="160" w:line="259" w:lineRule="auto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 w:rsidRPr="0007105C">
                              <w:rPr>
                                <w:rFonts w:ascii="Cambria" w:hAnsi="Cambria"/>
                                <w:sz w:val="20"/>
                              </w:rPr>
                              <w:t>Zmieniono regulacje art. 437 KSH, zgodnie z którym zapis na akcje sporządza się w formie pisemnej na formularzu przygotowanym przez spółkę. Zapis na akcje w postaci elektronicznej wymaga natomiast wypełnienia formularza udostępnionego w systemie teleinformatycznym i opatrzenia kwalifikowanym podpisem elektronicznym.</w:t>
                            </w:r>
                          </w:p>
                          <w:p w14:paraId="2D4F349F" w14:textId="77777777" w:rsidR="00FB78CB" w:rsidRPr="0007105C" w:rsidRDefault="00FB78CB" w:rsidP="00FB78CB">
                            <w:pPr>
                              <w:pStyle w:val="Akapitzlist"/>
                              <w:numPr>
                                <w:ilvl w:val="0"/>
                                <w:numId w:val="34"/>
                              </w:numPr>
                              <w:suppressAutoHyphens w:val="0"/>
                              <w:spacing w:before="0" w:after="160" w:line="259" w:lineRule="auto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 w:rsidRPr="0007105C">
                              <w:rPr>
                                <w:rFonts w:ascii="Cambria" w:hAnsi="Cambria"/>
                                <w:sz w:val="20"/>
                              </w:rPr>
                              <w:t xml:space="preserve">Wyłączono odpowiedzialność członków zarządu, rady nadzorczej oraz likwidatorów w zakresie szkody wyrządzonej ich działaniem lub zaniechaniem – w zakresie realizacji przez te osoby swoich obowiązków ustawowych.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71550" id="Pole tekstowe 9" o:spid="_x0000_s1030" type="#_x0000_t202" style="position:absolute;left:0;text-align:left;margin-left:5.9pt;margin-top:1.35pt;width:434pt;height:152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" fillcolor="#4472c4 [3208]" strokecolor="red" strokeweight=".5pt">
                <v:textbox>
                  <w:txbxContent>
                    <w:p w14:paraId="79756BDC" w14:textId="77777777" w:rsidR="00FB78CB" w:rsidRPr="0007105C" w:rsidRDefault="00FB78CB" w:rsidP="00FB78CB">
                      <w:pPr>
                        <w:pStyle w:val="Akapitzlist"/>
                        <w:numPr>
                          <w:ilvl w:val="0"/>
                          <w:numId w:val="34"/>
                        </w:numPr>
                        <w:suppressAutoHyphens w:val="0"/>
                        <w:spacing w:before="0" w:after="160" w:line="259" w:lineRule="auto"/>
                        <w:rPr>
                          <w:rFonts w:ascii="Cambria" w:hAnsi="Cambria"/>
                          <w:sz w:val="20"/>
                        </w:rPr>
                      </w:pPr>
                      <w:r w:rsidRPr="0007105C">
                        <w:rPr>
                          <w:rFonts w:ascii="Cambria" w:hAnsi="Cambria"/>
                          <w:sz w:val="20"/>
                        </w:rPr>
                        <w:t>Dodano zapisy zgodnie z którym rada nadzorcza w spółce zoo oraz S.A. będzie mogła podejmować uchwały w trybie pisemnym lub przy wykorzystaniu środków bezpośredniego porozumiewania się na odległość (również w sprawach, gdzie przewidziane jest głosowanie tajne);</w:t>
                      </w:r>
                    </w:p>
                    <w:p w14:paraId="28B7C6B7" w14:textId="77777777" w:rsidR="00FB78CB" w:rsidRPr="0007105C" w:rsidRDefault="00FB78CB" w:rsidP="00FB78CB">
                      <w:pPr>
                        <w:pStyle w:val="Akapitzlist"/>
                        <w:numPr>
                          <w:ilvl w:val="0"/>
                          <w:numId w:val="34"/>
                        </w:numPr>
                        <w:suppressAutoHyphens w:val="0"/>
                        <w:spacing w:before="0" w:after="160" w:line="259" w:lineRule="auto"/>
                        <w:rPr>
                          <w:rFonts w:ascii="Cambria" w:hAnsi="Cambria"/>
                          <w:sz w:val="20"/>
                        </w:rPr>
                      </w:pPr>
                      <w:r w:rsidRPr="0007105C">
                        <w:rPr>
                          <w:rFonts w:ascii="Cambria" w:hAnsi="Cambria"/>
                          <w:sz w:val="20"/>
                        </w:rPr>
                        <w:t>Zmieniono regulacje art. 437 KSH, zgodnie z którym zapis na akcje sporządza się w formie pisemnej na formularzu przygotowanym przez spółkę. Zapis na akcje w postaci elektronicznej wymaga natomiast wypełnienia formularza udostępnionego w systemie teleinformatycznym i opatrzenia kwalifikowanym podpisem elektronicznym.</w:t>
                      </w:r>
                    </w:p>
                    <w:p w14:paraId="2D4F349F" w14:textId="77777777" w:rsidR="00FB78CB" w:rsidRPr="0007105C" w:rsidRDefault="00FB78CB" w:rsidP="00FB78CB">
                      <w:pPr>
                        <w:pStyle w:val="Akapitzlist"/>
                        <w:numPr>
                          <w:ilvl w:val="0"/>
                          <w:numId w:val="34"/>
                        </w:numPr>
                        <w:suppressAutoHyphens w:val="0"/>
                        <w:spacing w:before="0" w:after="160" w:line="259" w:lineRule="auto"/>
                        <w:rPr>
                          <w:rFonts w:ascii="Cambria" w:hAnsi="Cambria"/>
                          <w:sz w:val="20"/>
                        </w:rPr>
                      </w:pPr>
                      <w:r w:rsidRPr="0007105C">
                        <w:rPr>
                          <w:rFonts w:ascii="Cambria" w:hAnsi="Cambria"/>
                          <w:sz w:val="20"/>
                        </w:rPr>
                        <w:t xml:space="preserve">Wyłączono odpowiedzialność członków zarządu, rady nadzorczej oraz likwidatorów w zakresie szkody wyrządzonej ich działaniem lub zaniechaniem – w zakresie realizacji przez te osoby swoich obowiązków ustawowych. </w:t>
                      </w:r>
                    </w:p>
                  </w:txbxContent>
                </v:textbox>
              </v:shape>
            </w:pict>
          </mc:Fallback>
        </mc:AlternateContent>
      </w:r>
    </w:p>
    <w:p w14:paraId="270BACDA" w14:textId="77777777" w:rsidR="00FB78CB" w:rsidRPr="006E132F" w:rsidRDefault="00FB78CB" w:rsidP="00FB78CB">
      <w:pPr>
        <w:rPr>
          <w:rFonts w:ascii="Cambria" w:hAnsi="Cambria"/>
          <w:b/>
          <w:bCs/>
          <w:color w:val="000000" w:themeColor="text1"/>
          <w:sz w:val="20"/>
        </w:rPr>
      </w:pPr>
    </w:p>
    <w:p w14:paraId="05F2F307" w14:textId="77777777" w:rsidR="00FB78CB" w:rsidRPr="006E132F" w:rsidRDefault="00FB78CB" w:rsidP="00FB78CB">
      <w:pPr>
        <w:rPr>
          <w:rFonts w:ascii="Cambria" w:hAnsi="Cambria"/>
          <w:b/>
          <w:bCs/>
          <w:color w:val="FF0000"/>
          <w:sz w:val="20"/>
          <w:u w:val="single"/>
        </w:rPr>
      </w:pPr>
    </w:p>
    <w:p w14:paraId="54620020" w14:textId="77777777" w:rsidR="00FB78CB" w:rsidRPr="006E132F" w:rsidRDefault="00FB78CB" w:rsidP="00FB78CB">
      <w:pPr>
        <w:rPr>
          <w:rFonts w:ascii="Cambria" w:hAnsi="Cambria"/>
          <w:b/>
          <w:bCs/>
          <w:color w:val="FF0000"/>
          <w:sz w:val="20"/>
          <w:u w:val="single"/>
        </w:rPr>
      </w:pPr>
    </w:p>
    <w:p w14:paraId="4EABA863" w14:textId="77777777" w:rsidR="00FB78CB" w:rsidRPr="006E132F" w:rsidRDefault="00FB78CB" w:rsidP="00FB78CB">
      <w:pPr>
        <w:rPr>
          <w:rFonts w:ascii="Cambria" w:hAnsi="Cambria"/>
          <w:b/>
          <w:bCs/>
          <w:color w:val="FF0000"/>
          <w:sz w:val="20"/>
          <w:u w:val="single"/>
        </w:rPr>
      </w:pPr>
    </w:p>
    <w:p w14:paraId="2A67B2DC" w14:textId="77777777" w:rsidR="00FB78CB" w:rsidRPr="006E132F" w:rsidRDefault="00FB78CB" w:rsidP="00FB78CB">
      <w:pPr>
        <w:rPr>
          <w:rFonts w:ascii="Cambria" w:hAnsi="Cambria"/>
          <w:b/>
          <w:bCs/>
          <w:color w:val="FF0000"/>
          <w:sz w:val="20"/>
          <w:u w:val="single"/>
        </w:rPr>
      </w:pPr>
    </w:p>
    <w:p w14:paraId="6745740B" w14:textId="77777777" w:rsidR="00FB78CB" w:rsidRPr="006E132F" w:rsidRDefault="00FB78CB" w:rsidP="00FB78CB">
      <w:pPr>
        <w:rPr>
          <w:rFonts w:ascii="Cambria" w:hAnsi="Cambria"/>
          <w:b/>
          <w:bCs/>
          <w:color w:val="FF0000"/>
          <w:sz w:val="20"/>
          <w:u w:val="single"/>
        </w:rPr>
      </w:pPr>
    </w:p>
    <w:p w14:paraId="6E81A6D4" w14:textId="77777777" w:rsidR="00FB78CB" w:rsidRPr="006E132F" w:rsidRDefault="00FB78CB" w:rsidP="00FB78CB">
      <w:pPr>
        <w:rPr>
          <w:rFonts w:ascii="Cambria" w:hAnsi="Cambria"/>
          <w:b/>
          <w:bCs/>
          <w:color w:val="FF0000"/>
          <w:sz w:val="20"/>
          <w:u w:val="single"/>
        </w:rPr>
      </w:pPr>
    </w:p>
    <w:p w14:paraId="7EEA153D" w14:textId="77777777" w:rsidR="00FB78CB" w:rsidRPr="006E132F" w:rsidRDefault="00FB78CB" w:rsidP="00FB78CB">
      <w:pPr>
        <w:rPr>
          <w:rFonts w:ascii="Cambria" w:hAnsi="Cambria"/>
          <w:b/>
          <w:bCs/>
          <w:color w:val="FF0000"/>
          <w:sz w:val="20"/>
          <w:u w:val="single"/>
        </w:rPr>
      </w:pPr>
    </w:p>
    <w:p w14:paraId="753DB9AC" w14:textId="77777777" w:rsidR="00FB78CB" w:rsidRPr="006E132F" w:rsidRDefault="00FB78CB" w:rsidP="00FB78CB">
      <w:pPr>
        <w:pStyle w:val="Akapitzlist"/>
        <w:numPr>
          <w:ilvl w:val="0"/>
          <w:numId w:val="31"/>
        </w:numPr>
        <w:suppressAutoHyphens w:val="0"/>
        <w:spacing w:before="0" w:after="160" w:line="259" w:lineRule="auto"/>
        <w:rPr>
          <w:rFonts w:ascii="Cambria" w:hAnsi="Cambria"/>
          <w:b/>
          <w:bCs/>
          <w:sz w:val="20"/>
        </w:rPr>
      </w:pPr>
      <w:r w:rsidRPr="006E132F">
        <w:rPr>
          <w:rFonts w:ascii="Cambria" w:hAnsi="Cambria"/>
          <w:b/>
          <w:bCs/>
          <w:sz w:val="20"/>
        </w:rPr>
        <w:t>CUDZOZIEMCY</w:t>
      </w:r>
    </w:p>
    <w:p w14:paraId="5C08E6B5" w14:textId="77777777" w:rsidR="00FB78CB" w:rsidRPr="006E132F" w:rsidRDefault="00FB78CB" w:rsidP="00FB78CB">
      <w:pPr>
        <w:ind w:left="360"/>
        <w:rPr>
          <w:rFonts w:ascii="Cambria" w:hAnsi="Cambria" w:cstheme="minorHAnsi"/>
          <w:sz w:val="20"/>
        </w:rPr>
      </w:pPr>
      <w:r w:rsidRPr="006E132F">
        <w:rPr>
          <w:rFonts w:ascii="Cambria" w:hAnsi="Cambria"/>
          <w:sz w:val="20"/>
        </w:rPr>
        <w:t xml:space="preserve">Pobyt cudzoziemców, którzy w dniu ogłoszenia stanu zagrożenia epidemicznego przebywali na terytorium </w:t>
      </w:r>
      <w:r w:rsidRPr="006E132F">
        <w:rPr>
          <w:rFonts w:ascii="Cambria" w:hAnsi="Cambria" w:cstheme="minorHAnsi"/>
          <w:sz w:val="20"/>
        </w:rPr>
        <w:t>RP został określony w ten sposób, że skończy się wraz z upływem 30 dni od dnia odwołania stanu zagrożenia epidemicznego lub stanu epidemii. Dotyczy to pobytu:</w:t>
      </w:r>
    </w:p>
    <w:p w14:paraId="5C8784E5" w14:textId="77777777" w:rsidR="00FB78CB" w:rsidRPr="006E132F" w:rsidRDefault="00FB78CB" w:rsidP="00FB78CB">
      <w:pPr>
        <w:pStyle w:val="Akapitzlist"/>
        <w:numPr>
          <w:ilvl w:val="0"/>
          <w:numId w:val="35"/>
        </w:numPr>
        <w:suppressAutoHyphens w:val="0"/>
        <w:spacing w:before="0" w:after="160" w:line="259" w:lineRule="auto"/>
        <w:rPr>
          <w:rFonts w:ascii="Cambria" w:hAnsi="Cambria"/>
          <w:sz w:val="20"/>
        </w:rPr>
      </w:pPr>
      <w:r w:rsidRPr="006E132F">
        <w:rPr>
          <w:rFonts w:ascii="Cambria" w:hAnsi="Cambria" w:cstheme="minorHAnsi"/>
          <w:sz w:val="20"/>
        </w:rPr>
        <w:t xml:space="preserve">na podstawie wizy </w:t>
      </w:r>
      <w:proofErr w:type="spellStart"/>
      <w:r w:rsidRPr="006E132F">
        <w:rPr>
          <w:rFonts w:ascii="Cambria" w:hAnsi="Cambria" w:cstheme="minorHAnsi"/>
          <w:sz w:val="20"/>
        </w:rPr>
        <w:t>Schengen</w:t>
      </w:r>
      <w:proofErr w:type="spellEnd"/>
      <w:r w:rsidRPr="006E132F">
        <w:rPr>
          <w:rFonts w:ascii="Cambria" w:hAnsi="Cambria" w:cstheme="minorHAnsi"/>
          <w:sz w:val="20"/>
        </w:rPr>
        <w:t xml:space="preserve">, </w:t>
      </w:r>
    </w:p>
    <w:p w14:paraId="5602288C" w14:textId="77777777" w:rsidR="00FB78CB" w:rsidRPr="006E132F" w:rsidRDefault="00FB78CB" w:rsidP="00FB78CB">
      <w:pPr>
        <w:pStyle w:val="Akapitzlist"/>
        <w:numPr>
          <w:ilvl w:val="0"/>
          <w:numId w:val="35"/>
        </w:numPr>
        <w:suppressAutoHyphens w:val="0"/>
        <w:spacing w:before="0" w:after="160" w:line="259" w:lineRule="auto"/>
        <w:rPr>
          <w:rFonts w:ascii="Cambria" w:hAnsi="Cambria"/>
          <w:sz w:val="20"/>
        </w:rPr>
      </w:pPr>
      <w:r w:rsidRPr="006E132F">
        <w:rPr>
          <w:rFonts w:ascii="Cambria" w:hAnsi="Cambria" w:cstheme="minorHAnsi"/>
          <w:sz w:val="20"/>
        </w:rPr>
        <w:t xml:space="preserve">na podstawie wizy wydanej przez inne państwo obszaru </w:t>
      </w:r>
      <w:proofErr w:type="spellStart"/>
      <w:r w:rsidRPr="006E132F">
        <w:rPr>
          <w:rFonts w:ascii="Cambria" w:hAnsi="Cambria" w:cstheme="minorHAnsi"/>
          <w:sz w:val="20"/>
        </w:rPr>
        <w:t>Schengen</w:t>
      </w:r>
      <w:proofErr w:type="spellEnd"/>
      <w:r w:rsidRPr="006E132F">
        <w:rPr>
          <w:rFonts w:ascii="Cambria" w:hAnsi="Cambria" w:cstheme="minorHAnsi"/>
          <w:sz w:val="20"/>
        </w:rPr>
        <w:t xml:space="preserve">, </w:t>
      </w:r>
    </w:p>
    <w:p w14:paraId="2BDA5728" w14:textId="77777777" w:rsidR="00FB78CB" w:rsidRPr="006E132F" w:rsidRDefault="00FB78CB" w:rsidP="00FB78CB">
      <w:pPr>
        <w:pStyle w:val="Akapitzlist"/>
        <w:numPr>
          <w:ilvl w:val="0"/>
          <w:numId w:val="35"/>
        </w:numPr>
        <w:suppressAutoHyphens w:val="0"/>
        <w:spacing w:before="0" w:after="160" w:line="259" w:lineRule="auto"/>
        <w:rPr>
          <w:rFonts w:ascii="Cambria" w:hAnsi="Cambria"/>
          <w:sz w:val="20"/>
        </w:rPr>
      </w:pPr>
      <w:r w:rsidRPr="006E132F">
        <w:rPr>
          <w:rFonts w:ascii="Cambria" w:hAnsi="Cambria" w:cstheme="minorHAnsi"/>
          <w:sz w:val="20"/>
        </w:rPr>
        <w:t xml:space="preserve">na podstawie dokumentu pobytowego wydanego przez inne państwo obszaru </w:t>
      </w:r>
      <w:proofErr w:type="spellStart"/>
      <w:r w:rsidRPr="006E132F">
        <w:rPr>
          <w:rFonts w:ascii="Cambria" w:hAnsi="Cambria" w:cstheme="minorHAnsi"/>
          <w:sz w:val="20"/>
        </w:rPr>
        <w:t>Schengen</w:t>
      </w:r>
      <w:proofErr w:type="spellEnd"/>
      <w:r w:rsidRPr="006E132F">
        <w:rPr>
          <w:rFonts w:ascii="Cambria" w:hAnsi="Cambria" w:cstheme="minorHAnsi"/>
          <w:sz w:val="20"/>
        </w:rPr>
        <w:t xml:space="preserve">, </w:t>
      </w:r>
    </w:p>
    <w:p w14:paraId="724E5A44" w14:textId="77777777" w:rsidR="00FB78CB" w:rsidRPr="006E132F" w:rsidRDefault="00FB78CB" w:rsidP="00FB78CB">
      <w:pPr>
        <w:pStyle w:val="Akapitzlist"/>
        <w:numPr>
          <w:ilvl w:val="0"/>
          <w:numId w:val="35"/>
        </w:numPr>
        <w:suppressAutoHyphens w:val="0"/>
        <w:spacing w:before="0" w:after="160" w:line="259" w:lineRule="auto"/>
        <w:rPr>
          <w:rFonts w:ascii="Cambria" w:hAnsi="Cambria"/>
          <w:sz w:val="20"/>
        </w:rPr>
      </w:pPr>
      <w:r w:rsidRPr="006E132F">
        <w:rPr>
          <w:rFonts w:ascii="Cambria" w:hAnsi="Cambria" w:cstheme="minorHAnsi"/>
          <w:sz w:val="20"/>
        </w:rPr>
        <w:t xml:space="preserve">w ramach ruchu bezwizowego, </w:t>
      </w:r>
    </w:p>
    <w:p w14:paraId="42E9E082" w14:textId="77777777" w:rsidR="00FB78CB" w:rsidRPr="006E132F" w:rsidRDefault="00FB78CB" w:rsidP="00FB78CB">
      <w:pPr>
        <w:pStyle w:val="Akapitzlist"/>
        <w:numPr>
          <w:ilvl w:val="0"/>
          <w:numId w:val="35"/>
        </w:numPr>
        <w:suppressAutoHyphens w:val="0"/>
        <w:spacing w:before="0" w:after="160" w:line="259" w:lineRule="auto"/>
        <w:rPr>
          <w:rFonts w:ascii="Cambria" w:hAnsi="Cambria"/>
          <w:sz w:val="20"/>
        </w:rPr>
      </w:pPr>
      <w:r w:rsidRPr="006E132F">
        <w:rPr>
          <w:rFonts w:ascii="Cambria" w:hAnsi="Cambria" w:cstheme="minorHAnsi"/>
          <w:sz w:val="20"/>
        </w:rPr>
        <w:t xml:space="preserve">na podstawie wizy długoterminowej wydanej przez inne państwo członkowskie UE niebędące państwem obszaru </w:t>
      </w:r>
      <w:proofErr w:type="spellStart"/>
      <w:r w:rsidRPr="006E132F">
        <w:rPr>
          <w:rFonts w:ascii="Cambria" w:hAnsi="Cambria" w:cstheme="minorHAnsi"/>
          <w:sz w:val="20"/>
        </w:rPr>
        <w:t>Schengen</w:t>
      </w:r>
      <w:proofErr w:type="spellEnd"/>
      <w:r w:rsidRPr="006E132F">
        <w:rPr>
          <w:rFonts w:ascii="Cambria" w:hAnsi="Cambria" w:cstheme="minorHAnsi"/>
          <w:sz w:val="20"/>
        </w:rPr>
        <w:t xml:space="preserve">, </w:t>
      </w:r>
    </w:p>
    <w:p w14:paraId="2156B42B" w14:textId="77777777" w:rsidR="00FB78CB" w:rsidRPr="006E132F" w:rsidRDefault="00FB78CB" w:rsidP="00FB78CB">
      <w:pPr>
        <w:pStyle w:val="Akapitzlist"/>
        <w:numPr>
          <w:ilvl w:val="0"/>
          <w:numId w:val="35"/>
        </w:numPr>
        <w:suppressAutoHyphens w:val="0"/>
        <w:spacing w:before="0" w:after="160" w:line="259" w:lineRule="auto"/>
        <w:rPr>
          <w:rFonts w:ascii="Cambria" w:hAnsi="Cambria"/>
          <w:sz w:val="20"/>
        </w:rPr>
      </w:pPr>
      <w:r w:rsidRPr="006E132F">
        <w:rPr>
          <w:rFonts w:ascii="Cambria" w:hAnsi="Cambria" w:cstheme="minorHAnsi"/>
          <w:sz w:val="20"/>
        </w:rPr>
        <w:t xml:space="preserve">na podstawie dokumentu pobytowego wydanego przez inne państwo członkowskie UE niebędące państwem obszaru </w:t>
      </w:r>
      <w:proofErr w:type="spellStart"/>
      <w:r w:rsidRPr="006E132F">
        <w:rPr>
          <w:rFonts w:ascii="Cambria" w:hAnsi="Cambria" w:cstheme="minorHAnsi"/>
          <w:sz w:val="20"/>
        </w:rPr>
        <w:t>Schengen</w:t>
      </w:r>
      <w:proofErr w:type="spellEnd"/>
      <w:r w:rsidRPr="006E132F">
        <w:rPr>
          <w:rFonts w:ascii="Cambria" w:hAnsi="Cambria" w:cstheme="minorHAnsi"/>
          <w:sz w:val="20"/>
        </w:rPr>
        <w:t>, jeżeli zgodnie z przepisami prawa Unii Europejskiej uprawnia ona do pobytu na terytorium Rzeczypospolitej Polskiej).</w:t>
      </w:r>
    </w:p>
    <w:p w14:paraId="164AA067" w14:textId="4966682C" w:rsidR="00FB78CB" w:rsidRPr="006E132F" w:rsidRDefault="00FB78CB" w:rsidP="00FB78CB">
      <w:pPr>
        <w:rPr>
          <w:rFonts w:ascii="Cambria" w:hAnsi="Cambria"/>
          <w:b/>
          <w:bCs/>
          <w:sz w:val="20"/>
        </w:rPr>
      </w:pPr>
    </w:p>
    <w:p w14:paraId="47F84D89" w14:textId="78B72E82" w:rsidR="00FB78CB" w:rsidRPr="006E132F" w:rsidRDefault="00FB78CB" w:rsidP="00FB78CB">
      <w:pPr>
        <w:rPr>
          <w:rFonts w:ascii="Cambria" w:hAnsi="Cambria"/>
          <w:b/>
          <w:bCs/>
          <w:color w:val="FF0000"/>
          <w:sz w:val="20"/>
          <w:u w:val="single"/>
        </w:rPr>
      </w:pPr>
      <w:r w:rsidRPr="006E132F">
        <w:rPr>
          <w:rFonts w:ascii="Cambria" w:hAnsi="Cambria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4CECD" wp14:editId="719B8322">
                <wp:simplePos x="0" y="0"/>
                <wp:positionH relativeFrom="margin">
                  <wp:posOffset>-15623</wp:posOffset>
                </wp:positionH>
                <wp:positionV relativeFrom="paragraph">
                  <wp:posOffset>64765</wp:posOffset>
                </wp:positionV>
                <wp:extent cx="5778500" cy="1065540"/>
                <wp:effectExtent l="0" t="0" r="12700" b="1397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0" cy="106554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EECD2D2" w14:textId="77777777" w:rsidR="00FB78CB" w:rsidRPr="00FB78CB" w:rsidRDefault="00FB78CB" w:rsidP="00FB78CB">
                            <w:pPr>
                              <w:rPr>
                                <w:rFonts w:ascii="Cambria" w:hAnsi="Cambria"/>
                                <w:sz w:val="20"/>
                              </w:rPr>
                            </w:pPr>
                            <w:r w:rsidRPr="00FB78CB"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</w:rPr>
                              <w:t>Cudzoziemcy, o których mowa powyżej, są uprawnieni do wykonywania pracy na terytorium RP w okresie pobytu uznawanego za legalny, jeśli posiadają ważne zezwolenie na pracę lub ważne zezwolenie na pracę sezonową lub posiadają oświadczenie o powierzeniu wykonywania pracy wpisane do ewidencji oświadczeń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4CECD" id="Pole tekstowe 10" o:spid="_x0000_s1031" type="#_x0000_t202" style="position:absolute;left:0;text-align:left;margin-left:-1.25pt;margin-top:5.1pt;width:455pt;height:83.9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" fillcolor="#4472c4 [3208]" strokecolor="red" strokeweight=".5pt">
                <v:textbox>
                  <w:txbxContent>
                    <w:p w14:paraId="3EECD2D2" w14:textId="77777777" w:rsidR="00FB78CB" w:rsidRPr="00FB78CB" w:rsidRDefault="00FB78CB" w:rsidP="00FB78CB">
                      <w:pPr>
                        <w:rPr>
                          <w:rFonts w:ascii="Cambria" w:hAnsi="Cambria"/>
                          <w:sz w:val="20"/>
                        </w:rPr>
                      </w:pPr>
                      <w:r w:rsidRPr="00FB78CB">
                        <w:rPr>
                          <w:rFonts w:ascii="Cambria" w:hAnsi="Cambria"/>
                          <w:b/>
                          <w:bCs/>
                          <w:sz w:val="20"/>
                        </w:rPr>
                        <w:t>Cudzoziemcy, o których mowa powyżej, są uprawnieni do wykonywania pracy na terytorium RP w okresie pobytu uznawanego za legalny, jeśli posiadają ważne zezwolenie na pracę lub ważne zezwolenie na pracę sezonową lub posiadają oświadczenie o powierzeniu wykonywania pracy wpisane do ewidencji oświadczeń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C34A80" w14:textId="77777777" w:rsidR="00FB78CB" w:rsidRPr="006E132F" w:rsidRDefault="00FB78CB" w:rsidP="00FB78CB">
      <w:pPr>
        <w:rPr>
          <w:rFonts w:ascii="Cambria" w:hAnsi="Cambria"/>
          <w:b/>
          <w:bCs/>
          <w:color w:val="FF0000"/>
          <w:sz w:val="20"/>
          <w:u w:val="single"/>
        </w:rPr>
      </w:pPr>
    </w:p>
    <w:p w14:paraId="2E0DE026" w14:textId="77777777" w:rsidR="00FB78CB" w:rsidRPr="006E132F" w:rsidRDefault="00FB78CB" w:rsidP="00FB78CB">
      <w:pPr>
        <w:rPr>
          <w:rFonts w:ascii="Cambria" w:hAnsi="Cambria"/>
          <w:b/>
          <w:bCs/>
          <w:color w:val="FF0000"/>
          <w:sz w:val="20"/>
          <w:u w:val="single"/>
        </w:rPr>
      </w:pPr>
    </w:p>
    <w:p w14:paraId="655CEEDD" w14:textId="77777777" w:rsidR="00FB78CB" w:rsidRPr="006E132F" w:rsidRDefault="00FB78CB" w:rsidP="00FB78CB">
      <w:pPr>
        <w:rPr>
          <w:rFonts w:ascii="Cambria" w:hAnsi="Cambria"/>
          <w:b/>
          <w:bCs/>
          <w:color w:val="FF0000"/>
          <w:sz w:val="20"/>
          <w:u w:val="single"/>
        </w:rPr>
      </w:pPr>
    </w:p>
    <w:p w14:paraId="3944850E" w14:textId="77777777" w:rsidR="00FB78CB" w:rsidRDefault="00FB78CB" w:rsidP="00FB78CB">
      <w:pPr>
        <w:pStyle w:val="Akapitzlist"/>
        <w:rPr>
          <w:rFonts w:ascii="Cambria" w:hAnsi="Cambria"/>
          <w:b/>
          <w:bCs/>
          <w:sz w:val="20"/>
        </w:rPr>
      </w:pPr>
    </w:p>
    <w:p w14:paraId="14B12BBA" w14:textId="77777777" w:rsidR="00FB78CB" w:rsidRPr="006E132F" w:rsidRDefault="00FB78CB" w:rsidP="00FB78CB">
      <w:pPr>
        <w:pStyle w:val="Akapitzlist"/>
        <w:numPr>
          <w:ilvl w:val="0"/>
          <w:numId w:val="31"/>
        </w:numPr>
        <w:suppressAutoHyphens w:val="0"/>
        <w:spacing w:before="0" w:after="160" w:line="259" w:lineRule="auto"/>
        <w:rPr>
          <w:rFonts w:ascii="Cambria" w:hAnsi="Cambria"/>
          <w:b/>
          <w:bCs/>
          <w:sz w:val="20"/>
        </w:rPr>
      </w:pPr>
      <w:r w:rsidRPr="006E132F">
        <w:rPr>
          <w:rFonts w:ascii="Cambria" w:hAnsi="Cambria"/>
          <w:b/>
          <w:bCs/>
          <w:sz w:val="20"/>
        </w:rPr>
        <w:t xml:space="preserve">ZMIANY W ZAKRESIE UPADŁOŚCI </w:t>
      </w:r>
    </w:p>
    <w:p w14:paraId="6BE7368A" w14:textId="77777777" w:rsidR="00FB78CB" w:rsidRPr="006E132F" w:rsidRDefault="00FB78CB" w:rsidP="00FB78CB">
      <w:pPr>
        <w:rPr>
          <w:rFonts w:ascii="Cambria" w:hAnsi="Cambria"/>
          <w:sz w:val="20"/>
        </w:rPr>
      </w:pPr>
      <w:r w:rsidRPr="006E132F">
        <w:rPr>
          <w:rFonts w:ascii="Cambria" w:hAnsi="Cambria"/>
          <w:sz w:val="20"/>
        </w:rPr>
        <w:t xml:space="preserve">Zaproponowano rozwiązanie zgodnie z którym, jeśli podstawa do ogłoszenia upadłości powstała w okresie obowiązywania stanu zagrożenia epidemicznego lub stanu epidemii, a stan niewypłacalności powstał z powodu COVID-19 – </w:t>
      </w:r>
      <w:r w:rsidRPr="006E132F">
        <w:rPr>
          <w:rFonts w:ascii="Cambria" w:hAnsi="Cambria"/>
          <w:b/>
          <w:bCs/>
          <w:sz w:val="20"/>
        </w:rPr>
        <w:t xml:space="preserve">bieg terminu do złożenia wniosku o ogłoszenie upadłości nie rozpoczyna się, a rozpoczęty ulega przerwaniu. </w:t>
      </w:r>
      <w:r w:rsidRPr="006E132F">
        <w:rPr>
          <w:rFonts w:ascii="Cambria" w:hAnsi="Cambria"/>
          <w:sz w:val="20"/>
        </w:rPr>
        <w:t>Po tym okresie termin ten biegnie na nowo.</w:t>
      </w:r>
    </w:p>
    <w:p w14:paraId="20244046" w14:textId="77777777" w:rsidR="00FB78CB" w:rsidRPr="006E132F" w:rsidRDefault="00FB78CB" w:rsidP="00FB78CB">
      <w:pPr>
        <w:rPr>
          <w:rFonts w:ascii="Cambria" w:hAnsi="Cambria"/>
          <w:b/>
          <w:bCs/>
          <w:color w:val="FF0000"/>
          <w:sz w:val="20"/>
          <w:u w:val="single"/>
        </w:rPr>
      </w:pPr>
      <w:r w:rsidRPr="006E132F">
        <w:rPr>
          <w:rFonts w:ascii="Cambria" w:hAnsi="Cambria"/>
          <w:b/>
          <w:bCs/>
          <w:color w:val="FF0000"/>
          <w:sz w:val="20"/>
          <w:u w:val="single"/>
        </w:rPr>
        <w:t>DODATKOWE ZMIANY W DOTYCHCZASOWYCH REGULACJACH:</w:t>
      </w:r>
    </w:p>
    <w:p w14:paraId="29C285E3" w14:textId="77777777" w:rsidR="00FB78CB" w:rsidRPr="006E132F" w:rsidRDefault="00FB78CB" w:rsidP="00FB78CB">
      <w:pPr>
        <w:pStyle w:val="Akapitzlist"/>
        <w:numPr>
          <w:ilvl w:val="0"/>
          <w:numId w:val="32"/>
        </w:numPr>
        <w:suppressAutoHyphens w:val="0"/>
        <w:spacing w:before="0" w:after="160" w:line="259" w:lineRule="auto"/>
        <w:rPr>
          <w:rFonts w:ascii="Cambria" w:hAnsi="Cambria"/>
          <w:sz w:val="20"/>
        </w:rPr>
      </w:pPr>
      <w:r w:rsidRPr="006E132F">
        <w:rPr>
          <w:rFonts w:ascii="Cambria" w:hAnsi="Cambria"/>
          <w:sz w:val="20"/>
        </w:rPr>
        <w:t>Przedłużenie terminów sporządzania lokalnej i grupowej dokumentacji cen transferowych, odpowiednio do 30 września i 31 grudnia 2020 r.;</w:t>
      </w:r>
    </w:p>
    <w:p w14:paraId="269721BE" w14:textId="77777777" w:rsidR="00FB78CB" w:rsidRPr="006E132F" w:rsidRDefault="00FB78CB" w:rsidP="00FB78CB">
      <w:pPr>
        <w:pStyle w:val="Akapitzlist"/>
        <w:numPr>
          <w:ilvl w:val="0"/>
          <w:numId w:val="32"/>
        </w:numPr>
        <w:suppressAutoHyphens w:val="0"/>
        <w:spacing w:before="0" w:after="160" w:line="259" w:lineRule="auto"/>
        <w:rPr>
          <w:rFonts w:ascii="Cambria" w:hAnsi="Cambria"/>
          <w:sz w:val="20"/>
        </w:rPr>
      </w:pPr>
      <w:r w:rsidRPr="006E132F">
        <w:rPr>
          <w:rFonts w:ascii="Cambria" w:hAnsi="Cambria"/>
          <w:sz w:val="20"/>
        </w:rPr>
        <w:t>Podatnik, który jest podatkową grupą kapitałową, który w 2020 r. poniesie negatywne konsekwencje ekonomiczne spowodowane COVID-19 i nie spełni z tego tytułu warunku rentowności oraz braku zaległości podatkowych, zachowa status podatkowej grupy kapitałowej.</w:t>
      </w:r>
    </w:p>
    <w:p w14:paraId="0EF64C6B" w14:textId="77777777" w:rsidR="00FB78CB" w:rsidRPr="006E132F" w:rsidRDefault="00FB78CB" w:rsidP="00FB78CB">
      <w:pPr>
        <w:pStyle w:val="Akapitzlist"/>
        <w:numPr>
          <w:ilvl w:val="0"/>
          <w:numId w:val="32"/>
        </w:numPr>
        <w:suppressAutoHyphens w:val="0"/>
        <w:spacing w:before="0" w:after="160" w:line="259" w:lineRule="auto"/>
        <w:rPr>
          <w:rFonts w:ascii="Cambria" w:hAnsi="Cambria"/>
          <w:sz w:val="20"/>
        </w:rPr>
      </w:pPr>
      <w:r w:rsidRPr="006E132F">
        <w:rPr>
          <w:rFonts w:ascii="Cambria" w:hAnsi="Cambria"/>
          <w:sz w:val="20"/>
        </w:rPr>
        <w:t>Wydłużenie terminów na realizacje obowiązków przez posiadaczy pojazdów:</w:t>
      </w:r>
    </w:p>
    <w:p w14:paraId="19DE68E9" w14:textId="77777777" w:rsidR="00FB78CB" w:rsidRPr="006E132F" w:rsidRDefault="00FB78CB" w:rsidP="00FB78CB">
      <w:pPr>
        <w:pStyle w:val="Akapitzlist"/>
        <w:numPr>
          <w:ilvl w:val="0"/>
          <w:numId w:val="33"/>
        </w:numPr>
        <w:suppressAutoHyphens w:val="0"/>
        <w:spacing w:before="0" w:after="160" w:line="259" w:lineRule="auto"/>
        <w:rPr>
          <w:rFonts w:ascii="Cambria" w:hAnsi="Cambria"/>
          <w:sz w:val="20"/>
        </w:rPr>
      </w:pPr>
      <w:r w:rsidRPr="006E132F">
        <w:rPr>
          <w:rFonts w:ascii="Cambria" w:hAnsi="Cambria"/>
          <w:sz w:val="20"/>
        </w:rPr>
        <w:t xml:space="preserve">W okresie do 60 dni od dnia odwołania stanu zagrożenia epidemicznego lub stanu epidemii zachowują ważność: </w:t>
      </w:r>
      <w:r w:rsidRPr="006E132F">
        <w:rPr>
          <w:rFonts w:ascii="Cambria" w:hAnsi="Cambria"/>
          <w:b/>
          <w:bCs/>
          <w:sz w:val="20"/>
        </w:rPr>
        <w:t xml:space="preserve">prawo jazdy, uprawnienia do kierowania pojazdami oraz szkolenia okresowe i badania lekarskich i psychologiczne do pracy na stanowisku kierowcy, </w:t>
      </w:r>
      <w:r w:rsidRPr="006E132F">
        <w:rPr>
          <w:rFonts w:ascii="Cambria" w:hAnsi="Cambria"/>
          <w:sz w:val="20"/>
        </w:rPr>
        <w:t>których termin ważności upłynął;</w:t>
      </w:r>
    </w:p>
    <w:p w14:paraId="046B636D" w14:textId="77777777" w:rsidR="00FB78CB" w:rsidRPr="006E132F" w:rsidRDefault="00FB78CB" w:rsidP="00FB78CB">
      <w:pPr>
        <w:pStyle w:val="Akapitzlist"/>
        <w:numPr>
          <w:ilvl w:val="0"/>
          <w:numId w:val="33"/>
        </w:numPr>
        <w:suppressAutoHyphens w:val="0"/>
        <w:spacing w:before="0" w:after="160" w:line="259" w:lineRule="auto"/>
        <w:rPr>
          <w:rFonts w:ascii="Cambria" w:hAnsi="Cambria"/>
          <w:sz w:val="20"/>
        </w:rPr>
      </w:pPr>
      <w:r w:rsidRPr="006E132F">
        <w:rPr>
          <w:rFonts w:ascii="Cambria" w:hAnsi="Cambria"/>
          <w:sz w:val="20"/>
        </w:rPr>
        <w:t xml:space="preserve">W okresie 14 dni od odwołania stanu zagrożenia epidemicznego i stanu epidemii ważności zachowują </w:t>
      </w:r>
      <w:r w:rsidRPr="006E132F">
        <w:rPr>
          <w:rFonts w:ascii="Cambria" w:hAnsi="Cambria"/>
          <w:b/>
          <w:bCs/>
          <w:sz w:val="20"/>
        </w:rPr>
        <w:t xml:space="preserve">pozwolenia czasowe i tablice rejestracyjne, </w:t>
      </w:r>
      <w:r w:rsidRPr="006E132F">
        <w:rPr>
          <w:rFonts w:ascii="Cambria" w:hAnsi="Cambria"/>
          <w:sz w:val="20"/>
        </w:rPr>
        <w:t>jeśli termin ważności czasowej rejestracji upłynął w okresie stanu zagrożenia epidemicznego lub stanu epidemii;</w:t>
      </w:r>
    </w:p>
    <w:p w14:paraId="26D20997" w14:textId="77777777" w:rsidR="00FB78CB" w:rsidRPr="006E132F" w:rsidRDefault="00FB78CB" w:rsidP="00FB78CB">
      <w:pPr>
        <w:pStyle w:val="Akapitzlist"/>
        <w:numPr>
          <w:ilvl w:val="0"/>
          <w:numId w:val="33"/>
        </w:numPr>
        <w:suppressAutoHyphens w:val="0"/>
        <w:spacing w:before="0" w:after="160" w:line="259" w:lineRule="auto"/>
        <w:rPr>
          <w:rFonts w:ascii="Cambria" w:hAnsi="Cambria"/>
          <w:sz w:val="20"/>
        </w:rPr>
      </w:pPr>
      <w:r w:rsidRPr="006E132F">
        <w:rPr>
          <w:rFonts w:ascii="Cambria" w:hAnsi="Cambria"/>
          <w:sz w:val="20"/>
        </w:rPr>
        <w:t xml:space="preserve">Utrzymują ważność badania techniczne pojazdów w </w:t>
      </w:r>
      <w:proofErr w:type="gramStart"/>
      <w:r w:rsidRPr="006E132F">
        <w:rPr>
          <w:rFonts w:ascii="Cambria" w:hAnsi="Cambria"/>
          <w:sz w:val="20"/>
        </w:rPr>
        <w:t>przypadku</w:t>
      </w:r>
      <w:proofErr w:type="gramEnd"/>
      <w:r w:rsidRPr="006E132F">
        <w:rPr>
          <w:rFonts w:ascii="Cambria" w:hAnsi="Cambria"/>
          <w:sz w:val="20"/>
        </w:rPr>
        <w:t xml:space="preserve"> gdy wyznaczony termin wypadałby w okresie zagrożenia epidemicznego lub epidemii – </w:t>
      </w:r>
      <w:r w:rsidRPr="006E132F">
        <w:rPr>
          <w:rFonts w:ascii="Cambria" w:hAnsi="Cambria"/>
          <w:b/>
          <w:bCs/>
          <w:sz w:val="20"/>
        </w:rPr>
        <w:t xml:space="preserve">przepis dotyczy jedynie osób które są właścicielami lub posiadaczami pojazdów i przebywają w kwarantannie lub podlegają leczeniu z powodu COVID-19. </w:t>
      </w:r>
      <w:r w:rsidRPr="006E132F">
        <w:rPr>
          <w:rFonts w:ascii="Cambria" w:hAnsi="Cambria"/>
          <w:sz w:val="20"/>
        </w:rPr>
        <w:t>Badania zachowują ważność przez okres 7 dni od dnia zakończenia leczenia lub zwolnienia z obowiązkowej kwarantanny.</w:t>
      </w:r>
    </w:p>
    <w:p w14:paraId="62C6BA26" w14:textId="77777777" w:rsidR="00FB78CB" w:rsidRPr="006E132F" w:rsidRDefault="00FB78CB" w:rsidP="00FB78CB">
      <w:pPr>
        <w:pStyle w:val="Akapitzlist"/>
        <w:numPr>
          <w:ilvl w:val="0"/>
          <w:numId w:val="32"/>
        </w:numPr>
        <w:suppressAutoHyphens w:val="0"/>
        <w:spacing w:before="0" w:after="160" w:line="259" w:lineRule="auto"/>
        <w:rPr>
          <w:rFonts w:ascii="Cambria" w:hAnsi="Cambria"/>
          <w:sz w:val="20"/>
        </w:rPr>
      </w:pPr>
      <w:r w:rsidRPr="006E132F">
        <w:rPr>
          <w:rFonts w:ascii="Cambria" w:hAnsi="Cambria"/>
          <w:sz w:val="20"/>
        </w:rPr>
        <w:t>Przedsiębiorcy prowadzący stacje kontroli pojazdów – będą uprawnieniu do złożenia sprawozdań z pobranych i przekazanych lub uiszczonych opłat ewidencyjnych o których mowa w art. 80d ust. 3a ustawy prawo o ruchu drogowym – w formie elektronicznej.</w:t>
      </w:r>
    </w:p>
    <w:p w14:paraId="7CE02AE7" w14:textId="77777777" w:rsidR="00FB78CB" w:rsidRPr="006E132F" w:rsidRDefault="00FB78CB" w:rsidP="00FB78CB">
      <w:pPr>
        <w:pStyle w:val="Akapitzlist"/>
        <w:numPr>
          <w:ilvl w:val="0"/>
          <w:numId w:val="32"/>
        </w:numPr>
        <w:suppressAutoHyphens w:val="0"/>
        <w:spacing w:before="0" w:after="160" w:line="259" w:lineRule="auto"/>
        <w:rPr>
          <w:rFonts w:ascii="Cambria" w:hAnsi="Cambria"/>
          <w:sz w:val="20"/>
        </w:rPr>
      </w:pPr>
      <w:r w:rsidRPr="006E132F">
        <w:rPr>
          <w:rFonts w:ascii="Cambria" w:hAnsi="Cambria"/>
          <w:sz w:val="20"/>
        </w:rPr>
        <w:t>Zwolnienie od podatku od czynności cywilnoprawnych umów sprzedaży i zamiany walut wirtualnych – dotyczy czynności dokonanych od 1 lipca 2020 r.</w:t>
      </w:r>
    </w:p>
    <w:p w14:paraId="3EDADDB9" w14:textId="77777777" w:rsidR="00FB78CB" w:rsidRPr="006E132F" w:rsidRDefault="00FB78CB" w:rsidP="00FB78CB">
      <w:pPr>
        <w:pStyle w:val="Akapitzlist"/>
        <w:numPr>
          <w:ilvl w:val="0"/>
          <w:numId w:val="32"/>
        </w:numPr>
        <w:suppressAutoHyphens w:val="0"/>
        <w:spacing w:before="0" w:after="160" w:line="259" w:lineRule="auto"/>
        <w:rPr>
          <w:rFonts w:ascii="Cambria" w:hAnsi="Cambria"/>
          <w:sz w:val="20"/>
        </w:rPr>
      </w:pPr>
      <w:r w:rsidRPr="006E132F">
        <w:rPr>
          <w:rFonts w:ascii="Cambria" w:hAnsi="Cambria"/>
          <w:sz w:val="20"/>
        </w:rPr>
        <w:t>Wprowadzono możliwość elektronicznego przekazywania do urzędu stanu cywilnego karty urodzenia, karty martwego urodzenia oraz karty zgonu.</w:t>
      </w:r>
    </w:p>
    <w:p w14:paraId="6D78DB25" w14:textId="77777777" w:rsidR="00FB78CB" w:rsidRPr="006E132F" w:rsidRDefault="00FB78CB" w:rsidP="00FB78CB">
      <w:pPr>
        <w:pStyle w:val="Akapitzlist"/>
        <w:numPr>
          <w:ilvl w:val="0"/>
          <w:numId w:val="32"/>
        </w:numPr>
        <w:suppressAutoHyphens w:val="0"/>
        <w:spacing w:before="0" w:after="160" w:line="259" w:lineRule="auto"/>
        <w:rPr>
          <w:rFonts w:ascii="Cambria" w:hAnsi="Cambria"/>
          <w:sz w:val="20"/>
        </w:rPr>
      </w:pPr>
      <w:r w:rsidRPr="006E132F">
        <w:rPr>
          <w:rFonts w:ascii="Cambria" w:hAnsi="Cambria"/>
          <w:sz w:val="20"/>
        </w:rPr>
        <w:t>Wójt/burmistrz/prezydent będzie sporządzał wykaz szczególnych form udzielania pomocy dla lokalnej społeczności oraz będzie informował o warunkach korzystania z pomocy.</w:t>
      </w:r>
    </w:p>
    <w:p w14:paraId="507C0B95" w14:textId="77777777" w:rsidR="00FB78CB" w:rsidRPr="006E132F" w:rsidRDefault="00FB78CB" w:rsidP="00FB78CB">
      <w:pPr>
        <w:pStyle w:val="Akapitzlist"/>
        <w:numPr>
          <w:ilvl w:val="0"/>
          <w:numId w:val="32"/>
        </w:numPr>
        <w:suppressAutoHyphens w:val="0"/>
        <w:spacing w:before="0" w:after="160" w:line="259" w:lineRule="auto"/>
        <w:rPr>
          <w:rFonts w:ascii="Cambria" w:hAnsi="Cambria"/>
          <w:sz w:val="20"/>
        </w:rPr>
      </w:pPr>
      <w:r w:rsidRPr="006E132F">
        <w:rPr>
          <w:rFonts w:ascii="Cambria" w:hAnsi="Cambria"/>
          <w:sz w:val="20"/>
        </w:rPr>
        <w:t>W zakresie przyznania zasiłku opiekuńczego – rozszerzono katalog osób uprawnionych o funkcjonariuszy zwolnionych od pełnienia służby z powodu konieczności osobistego sprawowania opieki – dla funkcjonariuszy zasiłki te stanowią dodatkowe uposażenie.</w:t>
      </w:r>
    </w:p>
    <w:p w14:paraId="41D537C2" w14:textId="77777777" w:rsidR="00FB78CB" w:rsidRPr="006E132F" w:rsidRDefault="00FB78CB" w:rsidP="00FB78CB">
      <w:pPr>
        <w:pStyle w:val="Akapitzlist"/>
        <w:numPr>
          <w:ilvl w:val="0"/>
          <w:numId w:val="32"/>
        </w:numPr>
        <w:suppressAutoHyphens w:val="0"/>
        <w:spacing w:before="0" w:after="160" w:line="259" w:lineRule="auto"/>
        <w:rPr>
          <w:rFonts w:ascii="Cambria" w:hAnsi="Cambria"/>
          <w:sz w:val="20"/>
        </w:rPr>
      </w:pPr>
      <w:r w:rsidRPr="006E132F">
        <w:rPr>
          <w:rFonts w:ascii="Cambria" w:hAnsi="Cambria"/>
          <w:sz w:val="20"/>
        </w:rPr>
        <w:lastRenderedPageBreak/>
        <w:t>ZUS może na wniosek dłużnika, ze względu na wystąpienie COVID-19 odstąpić od pobierania odsetek za zwłokę od należności z tytułu składek należnych za okres przypadający po dniu 31 grudnia 2019 r. – wniosek składa się w terminie obowiązywania stanu zagrożenia albo stanu epidemii lub w okresie 30 dni od jego odwołania.</w:t>
      </w:r>
    </w:p>
    <w:p w14:paraId="2BC8E525" w14:textId="77777777" w:rsidR="00FB78CB" w:rsidRPr="006E132F" w:rsidRDefault="00FB78CB" w:rsidP="00FB78CB">
      <w:pPr>
        <w:pStyle w:val="Akapitzlist"/>
        <w:suppressAutoHyphens w:val="0"/>
        <w:spacing w:before="0" w:after="160" w:line="259" w:lineRule="auto"/>
        <w:rPr>
          <w:rFonts w:ascii="Cambria" w:hAnsi="Cambria"/>
          <w:sz w:val="20"/>
        </w:rPr>
      </w:pPr>
    </w:p>
    <w:p w14:paraId="6A9BFF99" w14:textId="77777777" w:rsidR="005A192D" w:rsidRPr="005F240D" w:rsidRDefault="005A192D" w:rsidP="005F240D"/>
    <w:sectPr w:rsidR="005A192D" w:rsidRPr="005F240D" w:rsidSect="00BD1A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B50DB" w14:textId="77777777" w:rsidR="00F8388F" w:rsidRDefault="00F8388F" w:rsidP="00B259A5">
      <w:pPr>
        <w:spacing w:line="240" w:lineRule="auto"/>
      </w:pPr>
      <w:r>
        <w:separator/>
      </w:r>
    </w:p>
  </w:endnote>
  <w:endnote w:type="continuationSeparator" w:id="0">
    <w:p w14:paraId="3B09FE8E" w14:textId="77777777" w:rsidR="00F8388F" w:rsidRDefault="00F8388F" w:rsidP="00B259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BC4B6" w14:textId="77777777" w:rsidR="00E84DBE" w:rsidRDefault="00E84DBE" w:rsidP="00E84DBE">
    <w:pPr>
      <w:pStyle w:val="Stopka"/>
      <w:pBdr>
        <w:top w:val="single" w:sz="4" w:space="1" w:color="auto"/>
      </w:pBdr>
      <w:ind w:left="0"/>
      <w:rPr>
        <w:rFonts w:ascii="Times New Roman" w:hAnsi="Times New Roman" w:cs="Times New Roman"/>
      </w:rPr>
    </w:pPr>
  </w:p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2"/>
      <w:gridCol w:w="3680"/>
    </w:tblGrid>
    <w:tr w:rsidR="00DB797F" w:rsidRPr="00CB5E57" w14:paraId="0C42AD5D" w14:textId="77777777" w:rsidTr="00EF7672">
      <w:tc>
        <w:tcPr>
          <w:tcW w:w="5382" w:type="dxa"/>
        </w:tcPr>
        <w:p w14:paraId="5976705A" w14:textId="77777777" w:rsidR="00DB797F" w:rsidRPr="00CB5E57" w:rsidRDefault="00DB797F" w:rsidP="00DB797F">
          <w:pPr>
            <w:tabs>
              <w:tab w:val="center" w:pos="4536"/>
              <w:tab w:val="right" w:pos="9072"/>
            </w:tabs>
            <w:suppressAutoHyphens w:val="0"/>
            <w:spacing w:before="0" w:line="240" w:lineRule="auto"/>
            <w:rPr>
              <w:rFonts w:ascii="Verdana" w:eastAsiaTheme="minorEastAsia" w:hAnsi="Verdana" w:cstheme="minorBidi"/>
              <w:b/>
              <w:sz w:val="14"/>
              <w:szCs w:val="14"/>
              <w:lang w:eastAsia="en-US"/>
            </w:rPr>
          </w:pPr>
          <w:r w:rsidRPr="00CB5E57">
            <w:rPr>
              <w:rFonts w:ascii="Verdana" w:eastAsiaTheme="minorEastAsia" w:hAnsi="Verdana" w:cstheme="minorBidi"/>
              <w:b/>
              <w:sz w:val="14"/>
              <w:szCs w:val="14"/>
              <w:lang w:eastAsia="en-US"/>
            </w:rPr>
            <w:t>KRPM/</w:t>
          </w:r>
          <w:proofErr w:type="spellStart"/>
          <w:r w:rsidRPr="00CB5E57">
            <w:rPr>
              <w:rFonts w:ascii="Verdana" w:eastAsiaTheme="minorEastAsia" w:hAnsi="Verdana" w:cstheme="minorBidi"/>
              <w:b/>
              <w:sz w:val="14"/>
              <w:szCs w:val="14"/>
              <w:lang w:eastAsia="en-US"/>
            </w:rPr>
            <w:t>Legal</w:t>
          </w:r>
          <w:proofErr w:type="spellEnd"/>
          <w:r w:rsidRPr="00CB5E57">
            <w:rPr>
              <w:rFonts w:ascii="Verdana" w:eastAsiaTheme="minorEastAsia" w:hAnsi="Verdana" w:cstheme="minorBidi"/>
              <w:b/>
              <w:sz w:val="14"/>
              <w:szCs w:val="14"/>
              <w:lang w:eastAsia="en-US"/>
            </w:rPr>
            <w:t xml:space="preserve"> Kancelaria Radcy Prawnego Martyna Michta </w:t>
          </w:r>
        </w:p>
        <w:p w14:paraId="2FC11EAA" w14:textId="77777777" w:rsidR="00DB797F" w:rsidRPr="00CB5E57" w:rsidRDefault="00DB797F" w:rsidP="00DB797F">
          <w:pPr>
            <w:tabs>
              <w:tab w:val="center" w:pos="4536"/>
              <w:tab w:val="right" w:pos="9072"/>
            </w:tabs>
            <w:suppressAutoHyphens w:val="0"/>
            <w:spacing w:before="0" w:line="240" w:lineRule="auto"/>
            <w:rPr>
              <w:rFonts w:ascii="Verdana" w:eastAsiaTheme="minorEastAsia" w:hAnsi="Verdana" w:cstheme="minorBidi"/>
              <w:sz w:val="14"/>
              <w:szCs w:val="14"/>
              <w:lang w:eastAsia="en-US"/>
            </w:rPr>
          </w:pPr>
          <w:r w:rsidRPr="00CB5E57">
            <w:rPr>
              <w:rFonts w:ascii="Verdana" w:eastAsiaTheme="minorEastAsia" w:hAnsi="Verdana" w:cstheme="minorBidi"/>
              <w:sz w:val="14"/>
              <w:szCs w:val="14"/>
              <w:lang w:eastAsia="en-US"/>
            </w:rPr>
            <w:t xml:space="preserve">ul. </w:t>
          </w:r>
          <w:r w:rsidR="00CB5E57" w:rsidRPr="00CB5E57">
            <w:rPr>
              <w:rFonts w:ascii="Verdana" w:eastAsiaTheme="minorEastAsia" w:hAnsi="Verdana" w:cstheme="minorBidi"/>
              <w:sz w:val="14"/>
              <w:szCs w:val="14"/>
              <w:lang w:eastAsia="en-US"/>
            </w:rPr>
            <w:t>Józefowska 116a/51</w:t>
          </w:r>
        </w:p>
        <w:p w14:paraId="1EC21DCD" w14:textId="77777777" w:rsidR="00DB797F" w:rsidRPr="00CB5E57" w:rsidRDefault="00DB797F" w:rsidP="00DB797F">
          <w:pPr>
            <w:tabs>
              <w:tab w:val="center" w:pos="4536"/>
              <w:tab w:val="right" w:pos="9072"/>
            </w:tabs>
            <w:suppressAutoHyphens w:val="0"/>
            <w:spacing w:before="0" w:line="240" w:lineRule="auto"/>
            <w:rPr>
              <w:rFonts w:ascii="Verdana" w:eastAsiaTheme="minorEastAsia" w:hAnsi="Verdana" w:cstheme="minorBidi"/>
              <w:sz w:val="14"/>
              <w:szCs w:val="14"/>
              <w:lang w:eastAsia="en-US"/>
            </w:rPr>
          </w:pPr>
          <w:r w:rsidRPr="00CB5E57">
            <w:rPr>
              <w:rFonts w:ascii="Verdana" w:eastAsiaTheme="minorEastAsia" w:hAnsi="Verdana" w:cstheme="minorBidi"/>
              <w:sz w:val="14"/>
              <w:szCs w:val="14"/>
              <w:lang w:eastAsia="en-US"/>
            </w:rPr>
            <w:t>40-145 Katowice</w:t>
          </w:r>
        </w:p>
        <w:p w14:paraId="17FE043D" w14:textId="77777777" w:rsidR="00DB797F" w:rsidRPr="00CB5E57" w:rsidRDefault="00DB797F" w:rsidP="00DB797F">
          <w:pPr>
            <w:tabs>
              <w:tab w:val="center" w:pos="4536"/>
              <w:tab w:val="right" w:pos="9072"/>
            </w:tabs>
            <w:suppressAutoHyphens w:val="0"/>
            <w:spacing w:before="0" w:line="240" w:lineRule="auto"/>
            <w:rPr>
              <w:rFonts w:ascii="Verdana" w:eastAsiaTheme="minorEastAsia" w:hAnsi="Verdana" w:cstheme="minorBidi"/>
              <w:sz w:val="14"/>
              <w:szCs w:val="14"/>
              <w:lang w:eastAsia="en-US"/>
            </w:rPr>
          </w:pPr>
          <w:r w:rsidRPr="00CB5E57">
            <w:rPr>
              <w:rFonts w:ascii="Verdana" w:eastAsiaTheme="minorEastAsia" w:hAnsi="Verdana" w:cstheme="minorBidi"/>
              <w:sz w:val="14"/>
              <w:szCs w:val="14"/>
              <w:lang w:eastAsia="en-US"/>
            </w:rPr>
            <w:t>NIP: 6342687138</w:t>
          </w:r>
        </w:p>
      </w:tc>
      <w:tc>
        <w:tcPr>
          <w:tcW w:w="3680" w:type="dxa"/>
        </w:tcPr>
        <w:p w14:paraId="06F54592" w14:textId="77777777" w:rsidR="00DB797F" w:rsidRPr="00CB5E57" w:rsidRDefault="00DB797F" w:rsidP="00DB797F">
          <w:pPr>
            <w:tabs>
              <w:tab w:val="center" w:pos="4536"/>
              <w:tab w:val="right" w:pos="9072"/>
            </w:tabs>
            <w:suppressAutoHyphens w:val="0"/>
            <w:spacing w:before="0" w:line="240" w:lineRule="auto"/>
            <w:rPr>
              <w:rFonts w:ascii="Verdana" w:eastAsiaTheme="minorEastAsia" w:hAnsi="Verdana" w:cstheme="minorBidi"/>
              <w:sz w:val="14"/>
              <w:szCs w:val="14"/>
              <w:lang w:val="en-GB" w:eastAsia="en-US"/>
            </w:rPr>
          </w:pPr>
          <w:r w:rsidRPr="00CB5E57">
            <w:rPr>
              <w:rFonts w:ascii="Verdana" w:eastAsiaTheme="minorEastAsia" w:hAnsi="Verdana" w:cstheme="minorBidi"/>
              <w:sz w:val="14"/>
              <w:szCs w:val="14"/>
              <w:lang w:val="en-GB" w:eastAsia="en-US"/>
            </w:rPr>
            <w:t>Tel.:        724494840</w:t>
          </w:r>
        </w:p>
        <w:p w14:paraId="0A7AA85E" w14:textId="77777777" w:rsidR="00DB797F" w:rsidRPr="00CB5E57" w:rsidRDefault="00DB797F" w:rsidP="00DB797F">
          <w:pPr>
            <w:tabs>
              <w:tab w:val="center" w:pos="4536"/>
              <w:tab w:val="right" w:pos="9072"/>
            </w:tabs>
            <w:suppressAutoHyphens w:val="0"/>
            <w:spacing w:before="0" w:line="240" w:lineRule="auto"/>
            <w:rPr>
              <w:rFonts w:ascii="Verdana" w:eastAsiaTheme="minorEastAsia" w:hAnsi="Verdana" w:cstheme="minorBidi"/>
              <w:sz w:val="14"/>
              <w:szCs w:val="14"/>
              <w:lang w:val="en-GB" w:eastAsia="en-US"/>
            </w:rPr>
          </w:pPr>
          <w:r w:rsidRPr="00CB5E57">
            <w:rPr>
              <w:rFonts w:ascii="Verdana" w:eastAsiaTheme="minorEastAsia" w:hAnsi="Verdana" w:cstheme="minorBidi"/>
              <w:sz w:val="14"/>
              <w:szCs w:val="14"/>
              <w:lang w:val="en-GB" w:eastAsia="en-US"/>
            </w:rPr>
            <w:t xml:space="preserve">e-mail:    </w:t>
          </w:r>
          <w:r w:rsidR="00FB78CB">
            <w:fldChar w:fldCharType="begin"/>
          </w:r>
          <w:r w:rsidR="00FB78CB" w:rsidRPr="00B64CBF">
            <w:rPr>
              <w:lang w:val="en-US"/>
            </w:rPr>
            <w:instrText xml:space="preserve"> HYPERLINK "mailto:martyna.michta@krpmlegal.pl" </w:instrText>
          </w:r>
          <w:r w:rsidR="00FB78CB">
            <w:fldChar w:fldCharType="separate"/>
          </w:r>
          <w:r w:rsidRPr="00CB5E57">
            <w:rPr>
              <w:rFonts w:ascii="Verdana" w:eastAsiaTheme="minorEastAsia" w:hAnsi="Verdana" w:cstheme="minorBidi"/>
              <w:color w:val="0563C1" w:themeColor="hyperlink"/>
              <w:sz w:val="14"/>
              <w:szCs w:val="14"/>
              <w:u w:val="single"/>
              <w:lang w:val="en-GB" w:eastAsia="en-US"/>
            </w:rPr>
            <w:t>martyna.michta@krpmlegal.pl</w:t>
          </w:r>
          <w:r w:rsidR="00FB78CB">
            <w:rPr>
              <w:rFonts w:ascii="Verdana" w:eastAsiaTheme="minorEastAsia" w:hAnsi="Verdana" w:cstheme="minorBidi"/>
              <w:color w:val="0563C1" w:themeColor="hyperlink"/>
              <w:sz w:val="14"/>
              <w:szCs w:val="14"/>
              <w:u w:val="single"/>
              <w:lang w:val="en-GB" w:eastAsia="en-US"/>
            </w:rPr>
            <w:fldChar w:fldCharType="end"/>
          </w:r>
        </w:p>
        <w:p w14:paraId="1E99C5B7" w14:textId="77777777" w:rsidR="00DB797F" w:rsidRPr="00CB5E57" w:rsidRDefault="00DB797F" w:rsidP="00DB797F">
          <w:pPr>
            <w:tabs>
              <w:tab w:val="center" w:pos="4536"/>
              <w:tab w:val="right" w:pos="9072"/>
            </w:tabs>
            <w:suppressAutoHyphens w:val="0"/>
            <w:spacing w:before="0" w:line="240" w:lineRule="auto"/>
            <w:rPr>
              <w:rFonts w:ascii="Verdana" w:eastAsiaTheme="minorEastAsia" w:hAnsi="Verdana" w:cstheme="minorBidi"/>
              <w:sz w:val="14"/>
              <w:szCs w:val="14"/>
              <w:lang w:val="en-GB" w:eastAsia="en-US"/>
            </w:rPr>
          </w:pPr>
          <w:r w:rsidRPr="00CB5E57">
            <w:rPr>
              <w:rFonts w:ascii="Verdana" w:eastAsiaTheme="minorEastAsia" w:hAnsi="Verdana" w:cstheme="minorBidi"/>
              <w:sz w:val="14"/>
              <w:szCs w:val="14"/>
              <w:lang w:val="en-GB" w:eastAsia="en-US"/>
            </w:rPr>
            <w:t>www.:      krpmlegal.pl</w:t>
          </w:r>
        </w:p>
      </w:tc>
    </w:tr>
  </w:tbl>
  <w:p w14:paraId="75017EE1" w14:textId="77777777" w:rsidR="00B259A5" w:rsidRPr="00B259A5" w:rsidRDefault="00B259A5" w:rsidP="00DB797F">
    <w:pPr>
      <w:pStyle w:val="Stopka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92E5A" w14:textId="77777777" w:rsidR="00F8388F" w:rsidRDefault="00F8388F" w:rsidP="00B259A5">
      <w:pPr>
        <w:spacing w:line="240" w:lineRule="auto"/>
      </w:pPr>
      <w:r>
        <w:separator/>
      </w:r>
    </w:p>
  </w:footnote>
  <w:footnote w:type="continuationSeparator" w:id="0">
    <w:p w14:paraId="6B84E814" w14:textId="77777777" w:rsidR="00F8388F" w:rsidRDefault="00F8388F" w:rsidP="00B259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B3103" w14:textId="77777777" w:rsidR="00B259A5" w:rsidRDefault="00DB797F" w:rsidP="00DB797F">
    <w:pPr>
      <w:pStyle w:val="Nagwek"/>
      <w:ind w:left="0"/>
    </w:pPr>
    <w:r>
      <w:rPr>
        <w:noProof/>
        <w:lang w:eastAsia="pl-PL"/>
      </w:rPr>
      <w:drawing>
        <wp:inline distT="0" distB="0" distL="0" distR="0" wp14:anchorId="4AF3D7E0" wp14:editId="34E984FD">
          <wp:extent cx="1371600" cy="7120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802" cy="733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A410DD" w14:textId="77777777" w:rsidR="00B259A5" w:rsidRDefault="00B259A5">
    <w:pPr>
      <w:pStyle w:val="Nagwek"/>
    </w:pPr>
  </w:p>
  <w:p w14:paraId="7327C0C7" w14:textId="77777777" w:rsidR="00B259A5" w:rsidRDefault="00B259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5B43"/>
    <w:multiLevelType w:val="hybridMultilevel"/>
    <w:tmpl w:val="A418AD74"/>
    <w:lvl w:ilvl="0" w:tplc="B46E9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13545"/>
    <w:multiLevelType w:val="hybridMultilevel"/>
    <w:tmpl w:val="8B0CA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A7695"/>
    <w:multiLevelType w:val="hybridMultilevel"/>
    <w:tmpl w:val="03AAD1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72E26"/>
    <w:multiLevelType w:val="hybridMultilevel"/>
    <w:tmpl w:val="43F2FB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C5C6D"/>
    <w:multiLevelType w:val="hybridMultilevel"/>
    <w:tmpl w:val="077093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200A3"/>
    <w:multiLevelType w:val="hybridMultilevel"/>
    <w:tmpl w:val="36E41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E1E25"/>
    <w:multiLevelType w:val="hybridMultilevel"/>
    <w:tmpl w:val="72FCB22A"/>
    <w:lvl w:ilvl="0" w:tplc="7B9ED9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64E16"/>
    <w:multiLevelType w:val="hybridMultilevel"/>
    <w:tmpl w:val="E154F62A"/>
    <w:lvl w:ilvl="0" w:tplc="04150011">
      <w:start w:val="1"/>
      <w:numFmt w:val="decimal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8" w15:restartNumberingAfterBreak="0">
    <w:nsid w:val="15D11702"/>
    <w:multiLevelType w:val="hybridMultilevel"/>
    <w:tmpl w:val="7BA6E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22C59"/>
    <w:multiLevelType w:val="hybridMultilevel"/>
    <w:tmpl w:val="2FDC8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97221"/>
    <w:multiLevelType w:val="hybridMultilevel"/>
    <w:tmpl w:val="B28076B2"/>
    <w:lvl w:ilvl="0" w:tplc="6D221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F0167"/>
    <w:multiLevelType w:val="multilevel"/>
    <w:tmpl w:val="F24C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97212F"/>
    <w:multiLevelType w:val="hybridMultilevel"/>
    <w:tmpl w:val="721C1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57937"/>
    <w:multiLevelType w:val="hybridMultilevel"/>
    <w:tmpl w:val="163E9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102CA"/>
    <w:multiLevelType w:val="hybridMultilevel"/>
    <w:tmpl w:val="4F78094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1D769F"/>
    <w:multiLevelType w:val="hybridMultilevel"/>
    <w:tmpl w:val="1F568F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0C37DC"/>
    <w:multiLevelType w:val="hybridMultilevel"/>
    <w:tmpl w:val="163E9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4205FE"/>
    <w:multiLevelType w:val="hybridMultilevel"/>
    <w:tmpl w:val="D248D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3461C"/>
    <w:multiLevelType w:val="hybridMultilevel"/>
    <w:tmpl w:val="D5DE2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42ED3"/>
    <w:multiLevelType w:val="hybridMultilevel"/>
    <w:tmpl w:val="FDB482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0B4F55"/>
    <w:multiLevelType w:val="hybridMultilevel"/>
    <w:tmpl w:val="AFB8C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C327C"/>
    <w:multiLevelType w:val="hybridMultilevel"/>
    <w:tmpl w:val="2FFC2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67FE6"/>
    <w:multiLevelType w:val="hybridMultilevel"/>
    <w:tmpl w:val="0B8E9FB2"/>
    <w:lvl w:ilvl="0" w:tplc="1F08CA44">
      <w:start w:val="1"/>
      <w:numFmt w:val="upperLetter"/>
      <w:lvlText w:val="%1)"/>
      <w:lvlJc w:val="lef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23" w15:restartNumberingAfterBreak="0">
    <w:nsid w:val="3D620FA2"/>
    <w:multiLevelType w:val="hybridMultilevel"/>
    <w:tmpl w:val="FB1E5F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643DE5"/>
    <w:multiLevelType w:val="hybridMultilevel"/>
    <w:tmpl w:val="2DE61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D537E1"/>
    <w:multiLevelType w:val="hybridMultilevel"/>
    <w:tmpl w:val="B2362E12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6" w15:restartNumberingAfterBreak="0">
    <w:nsid w:val="49686BF1"/>
    <w:multiLevelType w:val="hybridMultilevel"/>
    <w:tmpl w:val="83B2AD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34536"/>
    <w:multiLevelType w:val="hybridMultilevel"/>
    <w:tmpl w:val="DBEA1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D0AA3"/>
    <w:multiLevelType w:val="hybridMultilevel"/>
    <w:tmpl w:val="9A0406BE"/>
    <w:lvl w:ilvl="0" w:tplc="B46E90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907381C"/>
    <w:multiLevelType w:val="hybridMultilevel"/>
    <w:tmpl w:val="B2362E12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0" w15:restartNumberingAfterBreak="0">
    <w:nsid w:val="5C916526"/>
    <w:multiLevelType w:val="hybridMultilevel"/>
    <w:tmpl w:val="8682B2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61966"/>
    <w:multiLevelType w:val="hybridMultilevel"/>
    <w:tmpl w:val="59F8EAD0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2" w15:restartNumberingAfterBreak="0">
    <w:nsid w:val="5FF75E5A"/>
    <w:multiLevelType w:val="hybridMultilevel"/>
    <w:tmpl w:val="F7868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517DEC"/>
    <w:multiLevelType w:val="hybridMultilevel"/>
    <w:tmpl w:val="25DA7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9E0651D"/>
    <w:multiLevelType w:val="hybridMultilevel"/>
    <w:tmpl w:val="5F747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"/>
  </w:num>
  <w:num w:numId="3">
    <w:abstractNumId w:val="24"/>
  </w:num>
  <w:num w:numId="4">
    <w:abstractNumId w:val="30"/>
  </w:num>
  <w:num w:numId="5">
    <w:abstractNumId w:val="20"/>
  </w:num>
  <w:num w:numId="6">
    <w:abstractNumId w:val="9"/>
  </w:num>
  <w:num w:numId="7">
    <w:abstractNumId w:val="14"/>
  </w:num>
  <w:num w:numId="8">
    <w:abstractNumId w:val="3"/>
  </w:num>
  <w:num w:numId="9">
    <w:abstractNumId w:val="32"/>
  </w:num>
  <w:num w:numId="10">
    <w:abstractNumId w:val="5"/>
  </w:num>
  <w:num w:numId="11">
    <w:abstractNumId w:val="12"/>
  </w:num>
  <w:num w:numId="12">
    <w:abstractNumId w:val="34"/>
  </w:num>
  <w:num w:numId="13">
    <w:abstractNumId w:val="4"/>
  </w:num>
  <w:num w:numId="14">
    <w:abstractNumId w:val="16"/>
  </w:num>
  <w:num w:numId="15">
    <w:abstractNumId w:val="28"/>
  </w:num>
  <w:num w:numId="16">
    <w:abstractNumId w:val="33"/>
  </w:num>
  <w:num w:numId="17">
    <w:abstractNumId w:val="18"/>
  </w:num>
  <w:num w:numId="18">
    <w:abstractNumId w:val="0"/>
  </w:num>
  <w:num w:numId="19">
    <w:abstractNumId w:val="2"/>
  </w:num>
  <w:num w:numId="20">
    <w:abstractNumId w:val="11"/>
  </w:num>
  <w:num w:numId="21">
    <w:abstractNumId w:val="25"/>
  </w:num>
  <w:num w:numId="22">
    <w:abstractNumId w:val="31"/>
  </w:num>
  <w:num w:numId="23">
    <w:abstractNumId w:val="7"/>
  </w:num>
  <w:num w:numId="24">
    <w:abstractNumId w:val="29"/>
  </w:num>
  <w:num w:numId="25">
    <w:abstractNumId w:val="13"/>
  </w:num>
  <w:num w:numId="26">
    <w:abstractNumId w:val="23"/>
  </w:num>
  <w:num w:numId="27">
    <w:abstractNumId w:val="21"/>
  </w:num>
  <w:num w:numId="28">
    <w:abstractNumId w:val="22"/>
  </w:num>
  <w:num w:numId="29">
    <w:abstractNumId w:val="17"/>
  </w:num>
  <w:num w:numId="30">
    <w:abstractNumId w:val="8"/>
  </w:num>
  <w:num w:numId="31">
    <w:abstractNumId w:val="6"/>
  </w:num>
  <w:num w:numId="32">
    <w:abstractNumId w:val="27"/>
  </w:num>
  <w:num w:numId="33">
    <w:abstractNumId w:val="19"/>
  </w:num>
  <w:num w:numId="34">
    <w:abstractNumId w:val="26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409"/>
    <w:rsid w:val="00017A40"/>
    <w:rsid w:val="00034FA8"/>
    <w:rsid w:val="0004447A"/>
    <w:rsid w:val="000465A4"/>
    <w:rsid w:val="00050B90"/>
    <w:rsid w:val="0005103E"/>
    <w:rsid w:val="00063D93"/>
    <w:rsid w:val="000675BC"/>
    <w:rsid w:val="000A1732"/>
    <w:rsid w:val="000B5CD5"/>
    <w:rsid w:val="000B7603"/>
    <w:rsid w:val="000C1317"/>
    <w:rsid w:val="000E09F7"/>
    <w:rsid w:val="000F65F9"/>
    <w:rsid w:val="00105DD9"/>
    <w:rsid w:val="00113F2C"/>
    <w:rsid w:val="00123F8F"/>
    <w:rsid w:val="00140B4B"/>
    <w:rsid w:val="00154FBD"/>
    <w:rsid w:val="00166840"/>
    <w:rsid w:val="001B6A76"/>
    <w:rsid w:val="001C5AC3"/>
    <w:rsid w:val="001E5C2C"/>
    <w:rsid w:val="001E6147"/>
    <w:rsid w:val="002042C2"/>
    <w:rsid w:val="0021741F"/>
    <w:rsid w:val="00221B77"/>
    <w:rsid w:val="00241191"/>
    <w:rsid w:val="002B55D2"/>
    <w:rsid w:val="002D04BE"/>
    <w:rsid w:val="002F12C0"/>
    <w:rsid w:val="00320EA3"/>
    <w:rsid w:val="003247CB"/>
    <w:rsid w:val="00354F73"/>
    <w:rsid w:val="00360F35"/>
    <w:rsid w:val="00363370"/>
    <w:rsid w:val="00386411"/>
    <w:rsid w:val="003B1D48"/>
    <w:rsid w:val="003C3DBA"/>
    <w:rsid w:val="003D2B41"/>
    <w:rsid w:val="003D6B92"/>
    <w:rsid w:val="004168E2"/>
    <w:rsid w:val="0042250B"/>
    <w:rsid w:val="00434BEA"/>
    <w:rsid w:val="004718E0"/>
    <w:rsid w:val="00477FE2"/>
    <w:rsid w:val="00482729"/>
    <w:rsid w:val="004B01EE"/>
    <w:rsid w:val="004B68B1"/>
    <w:rsid w:val="004C16A4"/>
    <w:rsid w:val="004F28D2"/>
    <w:rsid w:val="004F56D0"/>
    <w:rsid w:val="005038CE"/>
    <w:rsid w:val="00510655"/>
    <w:rsid w:val="005263FE"/>
    <w:rsid w:val="0053409D"/>
    <w:rsid w:val="00537187"/>
    <w:rsid w:val="005542E0"/>
    <w:rsid w:val="00576744"/>
    <w:rsid w:val="005A0860"/>
    <w:rsid w:val="005A192D"/>
    <w:rsid w:val="005C3821"/>
    <w:rsid w:val="005E4D72"/>
    <w:rsid w:val="005F0F0C"/>
    <w:rsid w:val="005F240D"/>
    <w:rsid w:val="00651A39"/>
    <w:rsid w:val="00654AA3"/>
    <w:rsid w:val="0066248F"/>
    <w:rsid w:val="0067745E"/>
    <w:rsid w:val="006F14F7"/>
    <w:rsid w:val="00705917"/>
    <w:rsid w:val="00711D7A"/>
    <w:rsid w:val="00713334"/>
    <w:rsid w:val="00733EA5"/>
    <w:rsid w:val="00740CC2"/>
    <w:rsid w:val="0075568A"/>
    <w:rsid w:val="00757D67"/>
    <w:rsid w:val="00781E5A"/>
    <w:rsid w:val="00794A71"/>
    <w:rsid w:val="007A2027"/>
    <w:rsid w:val="007A5D55"/>
    <w:rsid w:val="007A7261"/>
    <w:rsid w:val="007E2BB5"/>
    <w:rsid w:val="0082626F"/>
    <w:rsid w:val="00857FA8"/>
    <w:rsid w:val="00860D80"/>
    <w:rsid w:val="00863E37"/>
    <w:rsid w:val="008B0F16"/>
    <w:rsid w:val="008C0B0A"/>
    <w:rsid w:val="00911650"/>
    <w:rsid w:val="00937515"/>
    <w:rsid w:val="00944A10"/>
    <w:rsid w:val="00945B61"/>
    <w:rsid w:val="009639BD"/>
    <w:rsid w:val="0097561E"/>
    <w:rsid w:val="00980E0F"/>
    <w:rsid w:val="00990FB5"/>
    <w:rsid w:val="009B039F"/>
    <w:rsid w:val="009E71EB"/>
    <w:rsid w:val="009F4525"/>
    <w:rsid w:val="00A12CBD"/>
    <w:rsid w:val="00A4696F"/>
    <w:rsid w:val="00A6005D"/>
    <w:rsid w:val="00A75B56"/>
    <w:rsid w:val="00AB3461"/>
    <w:rsid w:val="00AC1C21"/>
    <w:rsid w:val="00AE74C1"/>
    <w:rsid w:val="00B00B11"/>
    <w:rsid w:val="00B15EB8"/>
    <w:rsid w:val="00B259A5"/>
    <w:rsid w:val="00B27019"/>
    <w:rsid w:val="00B5727D"/>
    <w:rsid w:val="00B64CBF"/>
    <w:rsid w:val="00B9021A"/>
    <w:rsid w:val="00B922F2"/>
    <w:rsid w:val="00BA1398"/>
    <w:rsid w:val="00BA7399"/>
    <w:rsid w:val="00BC4839"/>
    <w:rsid w:val="00BC5A4C"/>
    <w:rsid w:val="00BD1AF1"/>
    <w:rsid w:val="00C02AA2"/>
    <w:rsid w:val="00C222C6"/>
    <w:rsid w:val="00C518DF"/>
    <w:rsid w:val="00C523B3"/>
    <w:rsid w:val="00C81D7D"/>
    <w:rsid w:val="00C94372"/>
    <w:rsid w:val="00C95EC3"/>
    <w:rsid w:val="00CA6888"/>
    <w:rsid w:val="00CB3409"/>
    <w:rsid w:val="00CB5E57"/>
    <w:rsid w:val="00D60552"/>
    <w:rsid w:val="00D75341"/>
    <w:rsid w:val="00D91AFB"/>
    <w:rsid w:val="00DA45DB"/>
    <w:rsid w:val="00DB73EF"/>
    <w:rsid w:val="00DB797F"/>
    <w:rsid w:val="00DD28B2"/>
    <w:rsid w:val="00DE0492"/>
    <w:rsid w:val="00E30FC5"/>
    <w:rsid w:val="00E41FF6"/>
    <w:rsid w:val="00E6248A"/>
    <w:rsid w:val="00E84DBE"/>
    <w:rsid w:val="00F13C69"/>
    <w:rsid w:val="00F30B5D"/>
    <w:rsid w:val="00F8388F"/>
    <w:rsid w:val="00F84A00"/>
    <w:rsid w:val="00FA2390"/>
    <w:rsid w:val="00FB78CB"/>
    <w:rsid w:val="00FB7933"/>
    <w:rsid w:val="00FD07D8"/>
    <w:rsid w:val="00FF6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34B791"/>
  <w15:docId w15:val="{FB0630D3-38A0-48E2-8EAF-18ECC9E08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92D"/>
    <w:pPr>
      <w:suppressAutoHyphens/>
      <w:spacing w:before="142" w:line="300" w:lineRule="auto"/>
      <w:ind w:left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59A5"/>
    <w:pPr>
      <w:tabs>
        <w:tab w:val="center" w:pos="4536"/>
        <w:tab w:val="right" w:pos="9072"/>
      </w:tabs>
      <w:suppressAutoHyphens w:val="0"/>
      <w:spacing w:before="0" w:line="240" w:lineRule="auto"/>
      <w:ind w:left="35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59A5"/>
  </w:style>
  <w:style w:type="paragraph" w:styleId="Stopka">
    <w:name w:val="footer"/>
    <w:basedOn w:val="Normalny"/>
    <w:link w:val="StopkaZnak"/>
    <w:uiPriority w:val="99"/>
    <w:unhideWhenUsed/>
    <w:rsid w:val="00B259A5"/>
    <w:pPr>
      <w:tabs>
        <w:tab w:val="center" w:pos="4536"/>
        <w:tab w:val="right" w:pos="9072"/>
      </w:tabs>
      <w:suppressAutoHyphens w:val="0"/>
      <w:spacing w:before="0" w:line="240" w:lineRule="auto"/>
      <w:ind w:left="357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59A5"/>
  </w:style>
  <w:style w:type="character" w:styleId="Hipercze">
    <w:name w:val="Hyperlink"/>
    <w:basedOn w:val="Domylnaczcionkaakapitu"/>
    <w:uiPriority w:val="99"/>
    <w:unhideWhenUsed/>
    <w:rsid w:val="00B259A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30F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333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334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A12CB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DB797F"/>
    <w:pPr>
      <w:spacing w:line="240" w:lineRule="auto"/>
      <w:ind w:left="0"/>
      <w:jc w:val="left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1E6147"/>
  </w:style>
  <w:style w:type="paragraph" w:styleId="NormalnyWeb">
    <w:name w:val="Normal (Web)"/>
    <w:basedOn w:val="Normalny"/>
    <w:uiPriority w:val="99"/>
    <w:unhideWhenUsed/>
    <w:rsid w:val="001E6147"/>
    <w:pPr>
      <w:suppressAutoHyphens w:val="0"/>
      <w:spacing w:before="100" w:beforeAutospacing="1" w:after="100" w:afterAutospacing="1" w:line="240" w:lineRule="auto"/>
      <w:jc w:val="left"/>
    </w:pPr>
    <w:rPr>
      <w:szCs w:val="24"/>
      <w:lang w:eastAsia="pl-PL"/>
    </w:rPr>
  </w:style>
  <w:style w:type="character" w:customStyle="1" w:styleId="footnote">
    <w:name w:val="footnote"/>
    <w:basedOn w:val="Domylnaczcionkaakapitu"/>
    <w:rsid w:val="00554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0079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1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7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0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6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rp-tarc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1125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Michta</dc:creator>
  <cp:lastModifiedBy>Martyna Michta</cp:lastModifiedBy>
  <cp:revision>4</cp:revision>
  <cp:lastPrinted>2020-03-24T15:18:00Z</cp:lastPrinted>
  <dcterms:created xsi:type="dcterms:W3CDTF">2020-04-10T06:33:00Z</dcterms:created>
  <dcterms:modified xsi:type="dcterms:W3CDTF">2020-04-10T06:35:00Z</dcterms:modified>
</cp:coreProperties>
</file>